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60" w:before="0"/>
      </w:pPr>
      <w:r>
        <w:rPr>
          <w:b/>
          <w:bCs/>
          <w:color w:val="011825"/>
          <w:sz w:val="32"/>
          <w:szCs w:val="32"/>
        </w:rPr>
        <w:t xml:space="preserve">Beschlussvorlage für die Eigentümerversammlung</w:t>
      </w:r>
    </w:p>
    <w:p>
      <w:pPr>
        <w:spacing w:after="260" w:before="0" w:line="276"/>
      </w:pPr>
      <w:r>
        <w:rPr>
          <w:color w:val="4F6470"/>
          <w:sz w:val="20"/>
          <w:szCs w:val="20"/>
        </w:rPr>
        <w:t xml:space="preserve">Muster für energetische Maßnahmen in der Wohnungseigentümergemeinschaft</w:t>
      </w:r>
    </w:p>
    <w:tbl>
      <w:tblPr>
        <w:tblW w:type="dxa" w:w="9070"/>
        <w:tblBorders>
          <w:top w:val="single" w:color="C6CCCF" w:sz="4"/>
          <w:left w:val="single" w:color="82C80F" w:sz="18"/>
          <w:bottom w:val="single" w:color="C6CCCF" w:sz="4"/>
          <w:right w:val="single" w:color="C6CCCF" w:sz="4"/>
          <w:insideH w:val="none" w:color="FFFFFF" w:sz="0"/>
          <w:insideV w:val="none" w:color="FFFFFF" w:sz="0"/>
        </w:tblBorders>
      </w:tblPr>
      <w:tblGrid>
        <w:gridCol w:w="9070"/>
      </w:tblGrid>
      <w:tr>
        <w:tc>
          <w:tcPr>
            <w:tcW w:type="dxa" w:w="9070"/>
            <w:shd w:fill="F4F6F7" w:color="auto" w:val="clear"/>
            <w:tcMar>
              <w:top w:type="dxa" w:w="160"/>
              <w:left w:type="dxa" w:w="160"/>
              <w:bottom w:type="dxa" w:w="160"/>
              <w:right w:type="dxa" w:w="160"/>
            </w:tcMar>
          </w:tcPr>
          <w:p>
            <w:pPr>
              <w:spacing w:after="100" w:line="276"/>
            </w:pPr>
            <w:r>
              <w:rPr>
                <w:b/>
                <w:bCs/>
                <w:color w:val="011825"/>
                <w:sz w:val="20"/>
                <w:szCs w:val="20"/>
              </w:rPr>
              <w:t xml:space="preserve">Formulierungshilfe, keine Rechtsberatung. </w:t>
            </w:r>
            <w:r>
              <w:rPr>
                <w:color w:val="011825"/>
                <w:sz w:val="20"/>
                <w:szCs w:val="20"/>
              </w:rPr>
              <w:t xml:space="preserve">Dieses Muster deckt die Fälle ab, die uns in der Praxis am häufigsten begegnen. Beschlüsse einer Wohnungseigentümergemeinschaft sind innerhalb eines Monats anfechtbar. Lassen Sie den Wortlaut deshalb vor der Versammlung von Ihrer Verwaltung prüfen und im Zweifel von einer auf WEG-Recht spezialisierten Kanzlei.</w:t>
            </w:r>
          </w:p>
          <w:p>
            <w:pPr>
              <w:spacing w:after="0" w:line="276"/>
            </w:pPr>
            <w:r>
              <w:rPr>
                <w:color w:val="011825"/>
                <w:sz w:val="20"/>
                <w:szCs w:val="20"/>
              </w:rPr>
              <w:t xml:space="preserve">Alle Angaben in eckigen Klammern </w:t>
            </w:r>
            <w:r>
              <w:rPr>
                <w:b/>
                <w:bCs/>
                <w:color w:val="011825"/>
                <w:sz w:val="20"/>
                <w:szCs w:val="20"/>
              </w:rPr>
              <w:t xml:space="preserve">[…]</w:t>
            </w:r>
            <w:r>
              <w:rPr>
                <w:color w:val="011825"/>
                <w:sz w:val="20"/>
                <w:szCs w:val="20"/>
              </w:rPr>
              <w:t xml:space="preserve"> sind vor der Versammlung auszufüllen. Löschen Sie die Beschlussvorschläge, die Sie nicht brauchen.</w:t>
            </w:r>
          </w:p>
        </w:tc>
      </w:tr>
    </w:tbl>
    <w:p>
      <w:pPr>
        <w:pStyle w:val="Heading2"/>
        <w:keepNext/>
        <w:pBdr>
          <w:bottom w:val="single" w:color="C6CCCF" w:sz="4" w:space="4"/>
        </w:pBdr>
        <w:spacing w:after="110" w:before="280"/>
      </w:pPr>
      <w:r>
        <w:rPr>
          <w:b/>
          <w:bCs/>
          <w:color w:val="011825"/>
          <w:sz w:val="23"/>
          <w:szCs w:val="23"/>
        </w:rPr>
        <w:t xml:space="preserve">So arbeiten Sie mit dieser Vorlage</w:t>
      </w:r>
    </w:p>
    <w:p>
      <w:pPr>
        <w:pStyle w:val="ListParagraph"/>
        <w:numPr>
          <w:ilvl w:val="0"/>
          <w:numId w:val="2"/>
        </w:numPr>
        <w:spacing w:after="60" w:line="276"/>
      </w:pPr>
      <w:r>
        <w:rPr>
          <w:color w:val="011825"/>
          <w:sz w:val="20"/>
          <w:szCs w:val="20"/>
        </w:rPr>
        <w:t xml:space="preserve">Wählen Sie den passenden Beschlussvorschlag: A für die Beauftragung einer Energieberatung, B für die Durchführung einer Maßnahme, C für die Ermächtigung zur Förderantragstellung. A und C lassen sich sinnvoll kombinieren.</w:t>
      </w:r>
    </w:p>
    <w:p>
      <w:pPr>
        <w:pStyle w:val="ListParagraph"/>
        <w:numPr>
          <w:ilvl w:val="0"/>
          <w:numId w:val="2"/>
        </w:numPr>
        <w:spacing w:after="60" w:line="276"/>
      </w:pPr>
      <w:r>
        <w:rPr>
          <w:color w:val="011825"/>
          <w:sz w:val="20"/>
          <w:szCs w:val="20"/>
        </w:rPr>
        <w:t xml:space="preserve">Füllen Sie die Klammern aus und ergänzen Sie die Kostenobergrenze. Ein Beschluss ohne Obergrenze ist in der Regel zu unbestimmt.</w:t>
      </w:r>
    </w:p>
    <w:p>
      <w:pPr>
        <w:pStyle w:val="ListParagraph"/>
        <w:numPr>
          <w:ilvl w:val="0"/>
          <w:numId w:val="2"/>
        </w:numPr>
        <w:spacing w:after="60" w:line="276"/>
      </w:pPr>
      <w:r>
        <w:rPr>
          <w:color w:val="011825"/>
          <w:sz w:val="20"/>
          <w:szCs w:val="20"/>
        </w:rPr>
        <w:t xml:space="preserve">Senden Sie die Vorlage der Verwaltung so früh zu, dass der Tagesordnungspunkt in die Einladung aufgenommen werden kann. Die Einberufungsfrist beträgt mindestens drei Wochen (§ 24 Abs. 4 WEG); rechnen Sie zwei bis drei Wochen Vorlauf dazu.</w:t>
      </w:r>
    </w:p>
    <w:p>
      <w:pPr>
        <w:pStyle w:val="ListParagraph"/>
        <w:numPr>
          <w:ilvl w:val="0"/>
          <w:numId w:val="2"/>
        </w:numPr>
        <w:spacing w:after="60" w:line="276"/>
      </w:pPr>
      <w:r>
        <w:rPr>
          <w:color w:val="011825"/>
          <w:sz w:val="20"/>
          <w:szCs w:val="20"/>
        </w:rPr>
        <w:t xml:space="preserve">Legen Sie die Unterlagen bei, auf die der Beschluss verweist – Angebote, Kostenschätzung, Förderübersicht, Sanierungsfahrplan. Nur was allen vorliegt, kann Grundlage des Beschlusses sein.</w:t>
      </w:r>
    </w:p>
    <w:p>
      <w:pPr>
        <w:pStyle w:val="ListParagraph"/>
        <w:numPr>
          <w:ilvl w:val="0"/>
          <w:numId w:val="2"/>
        </w:numPr>
        <w:spacing w:after="60" w:line="276"/>
      </w:pPr>
      <w:r>
        <w:rPr>
          <w:color w:val="011825"/>
          <w:sz w:val="20"/>
          <w:szCs w:val="20"/>
        </w:rPr>
        <w:t xml:space="preserve">Lassen Sie den Beschlusstext wörtlich ins Protokoll und in die Beschluss-Sammlung übernehmen (§ 24 Abs. 7 WEG).</w:t>
      </w:r>
    </w:p>
    <w:p>
      <w:pPr>
        <w:pStyle w:val="Heading2"/>
        <w:keepNext/>
        <w:pBdr>
          <w:bottom w:val="single" w:color="C6CCCF" w:sz="4" w:space="4"/>
        </w:pBdr>
        <w:spacing w:after="110" w:before="280"/>
      </w:pPr>
      <w:r>
        <w:rPr>
          <w:b/>
          <w:bCs/>
          <w:color w:val="011825"/>
          <w:sz w:val="23"/>
          <w:szCs w:val="23"/>
        </w:rPr>
        <w:t xml:space="preserve">Kopfdaten</w:t>
      </w:r>
    </w:p>
    <w:tbl>
      <w:tblPr>
        <w:tblW w:type="dxa" w:w="9070"/>
        <w:tblBorders>
          <w:top w:val="none" w:color="FFFFFF" w:sz="0"/>
          <w:left w:val="none" w:color="FFFFFF" w:sz="0"/>
          <w:bottom w:val="none" w:color="FFFFFF" w:sz="0"/>
          <w:right w:val="none" w:color="FFFFFF" w:sz="0"/>
          <w:insideH w:val="none" w:color="FFFFFF" w:sz="0"/>
          <w:insideV w:val="none" w:color="FFFFFF" w:sz="0"/>
        </w:tblBorders>
      </w:tblPr>
      <w:tblGrid>
        <w:gridCol w:w="3200"/>
        <w:gridCol w:w="5870"/>
      </w:tblGrid>
      <w:tr>
        <w:tc>
          <w:tcPr>
            <w:tcW w:type="dxa" w:w="3200"/>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0" w:before="0" w:line="276"/>
            </w:pPr>
            <w:r>
              <w:rPr>
                <w:color w:val="4F6470"/>
                <w:sz w:val="19"/>
                <w:szCs w:val="19"/>
              </w:rPr>
              <w:t xml:space="preserve">Wohnungseigentümergemeinschaft</w:t>
            </w:r>
          </w:p>
        </w:tc>
        <w:tc>
          <w:tcPr>
            <w:tcW w:type="dxa" w:w="5870"/>
            <w:tcBorders>
              <w:top w:val="none" w:color="FFFFFF" w:sz="0"/>
              <w:left w:val="none" w:color="FFFFFF" w:sz="0"/>
              <w:bottom w:val="dotted" w:color="8FA0A8" w:sz="4"/>
              <w:right w:val="none" w:color="FFFFFF" w:sz="0"/>
            </w:tcBorders>
            <w:tcMar>
              <w:top w:type="dxa" w:w="60"/>
              <w:left w:type="dxa" w:w="0"/>
              <w:bottom w:type="dxa" w:w="60"/>
              <w:right w:type="dxa" w:w="0"/>
            </w:tcMar>
          </w:tcPr>
          <w:p>
            <w:pPr>
              <w:spacing w:after="0" w:before="0" w:line="276"/>
            </w:pPr>
            <w:r>
              <w:rPr>
                <w:color w:val="011825"/>
                <w:sz w:val="19"/>
                <w:szCs w:val="19"/>
              </w:rPr>
              <w:t xml:space="preserve"/>
            </w:r>
          </w:p>
        </w:tc>
      </w:tr>
      <w:tr>
        <w:tc>
          <w:tcPr>
            <w:tcW w:type="dxa" w:w="3200"/>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0" w:before="0" w:line="276"/>
            </w:pPr>
            <w:r>
              <w:rPr>
                <w:color w:val="4F6470"/>
                <w:sz w:val="19"/>
                <w:szCs w:val="19"/>
              </w:rPr>
              <w:t xml:space="preserve">Objekt (Straße, PLZ, Ort)</w:t>
            </w:r>
          </w:p>
        </w:tc>
        <w:tc>
          <w:tcPr>
            <w:tcW w:type="dxa" w:w="5870"/>
            <w:tcBorders>
              <w:top w:val="none" w:color="FFFFFF" w:sz="0"/>
              <w:left w:val="none" w:color="FFFFFF" w:sz="0"/>
              <w:bottom w:val="dotted" w:color="8FA0A8" w:sz="4"/>
              <w:right w:val="none" w:color="FFFFFF" w:sz="0"/>
            </w:tcBorders>
            <w:tcMar>
              <w:top w:type="dxa" w:w="60"/>
              <w:left w:type="dxa" w:w="0"/>
              <w:bottom w:type="dxa" w:w="60"/>
              <w:right w:type="dxa" w:w="0"/>
            </w:tcMar>
          </w:tcPr>
          <w:p>
            <w:pPr>
              <w:spacing w:after="0" w:before="0" w:line="276"/>
            </w:pPr>
            <w:r>
              <w:rPr>
                <w:color w:val="011825"/>
                <w:sz w:val="19"/>
                <w:szCs w:val="19"/>
              </w:rPr>
              <w:t xml:space="preserve"/>
            </w:r>
          </w:p>
        </w:tc>
      </w:tr>
      <w:tr>
        <w:tc>
          <w:tcPr>
            <w:tcW w:type="dxa" w:w="3200"/>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0" w:before="0" w:line="276"/>
            </w:pPr>
            <w:r>
              <w:rPr>
                <w:color w:val="4F6470"/>
                <w:sz w:val="19"/>
                <w:szCs w:val="19"/>
              </w:rPr>
              <w:t xml:space="preserve">Verwaltung</w:t>
            </w:r>
          </w:p>
        </w:tc>
        <w:tc>
          <w:tcPr>
            <w:tcW w:type="dxa" w:w="5870"/>
            <w:tcBorders>
              <w:top w:val="none" w:color="FFFFFF" w:sz="0"/>
              <w:left w:val="none" w:color="FFFFFF" w:sz="0"/>
              <w:bottom w:val="dotted" w:color="8FA0A8" w:sz="4"/>
              <w:right w:val="none" w:color="FFFFFF" w:sz="0"/>
            </w:tcBorders>
            <w:tcMar>
              <w:top w:type="dxa" w:w="60"/>
              <w:left w:type="dxa" w:w="0"/>
              <w:bottom w:type="dxa" w:w="60"/>
              <w:right w:type="dxa" w:w="0"/>
            </w:tcMar>
          </w:tcPr>
          <w:p>
            <w:pPr>
              <w:spacing w:after="0" w:before="0" w:line="276"/>
            </w:pPr>
            <w:r>
              <w:rPr>
                <w:color w:val="011825"/>
                <w:sz w:val="19"/>
                <w:szCs w:val="19"/>
              </w:rPr>
              <w:t xml:space="preserve"/>
            </w:r>
          </w:p>
        </w:tc>
      </w:tr>
      <w:tr>
        <w:tc>
          <w:tcPr>
            <w:tcW w:type="dxa" w:w="3200"/>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0" w:before="0" w:line="276"/>
            </w:pPr>
            <w:r>
              <w:rPr>
                <w:color w:val="4F6470"/>
                <w:sz w:val="19"/>
                <w:szCs w:val="19"/>
              </w:rPr>
              <w:t xml:space="preserve">Datum der Versammlung</w:t>
            </w:r>
          </w:p>
        </w:tc>
        <w:tc>
          <w:tcPr>
            <w:tcW w:type="dxa" w:w="5870"/>
            <w:tcBorders>
              <w:top w:val="none" w:color="FFFFFF" w:sz="0"/>
              <w:left w:val="none" w:color="FFFFFF" w:sz="0"/>
              <w:bottom w:val="dotted" w:color="8FA0A8" w:sz="4"/>
              <w:right w:val="none" w:color="FFFFFF" w:sz="0"/>
            </w:tcBorders>
            <w:tcMar>
              <w:top w:type="dxa" w:w="60"/>
              <w:left w:type="dxa" w:w="0"/>
              <w:bottom w:type="dxa" w:w="60"/>
              <w:right w:type="dxa" w:w="0"/>
            </w:tcMar>
          </w:tcPr>
          <w:p>
            <w:pPr>
              <w:spacing w:after="0" w:before="0" w:line="276"/>
            </w:pPr>
            <w:r>
              <w:rPr>
                <w:color w:val="011825"/>
                <w:sz w:val="19"/>
                <w:szCs w:val="19"/>
              </w:rPr>
              <w:t xml:space="preserve"/>
            </w:r>
          </w:p>
        </w:tc>
      </w:tr>
      <w:tr>
        <w:tc>
          <w:tcPr>
            <w:tcW w:type="dxa" w:w="3200"/>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0" w:before="0" w:line="276"/>
            </w:pPr>
            <w:r>
              <w:rPr>
                <w:color w:val="4F6470"/>
                <w:sz w:val="19"/>
                <w:szCs w:val="19"/>
              </w:rPr>
              <w:t xml:space="preserve">Tagesordnungspunkt Nr.</w:t>
            </w:r>
          </w:p>
        </w:tc>
        <w:tc>
          <w:tcPr>
            <w:tcW w:type="dxa" w:w="5870"/>
            <w:tcBorders>
              <w:top w:val="none" w:color="FFFFFF" w:sz="0"/>
              <w:left w:val="none" w:color="FFFFFF" w:sz="0"/>
              <w:bottom w:val="dotted" w:color="8FA0A8" w:sz="4"/>
              <w:right w:val="none" w:color="FFFFFF" w:sz="0"/>
            </w:tcBorders>
            <w:tcMar>
              <w:top w:type="dxa" w:w="60"/>
              <w:left w:type="dxa" w:w="0"/>
              <w:bottom w:type="dxa" w:w="60"/>
              <w:right w:type="dxa" w:w="0"/>
            </w:tcMar>
          </w:tcPr>
          <w:p>
            <w:pPr>
              <w:spacing w:after="0" w:before="0" w:line="276"/>
            </w:pPr>
            <w:r>
              <w:rPr>
                <w:color w:val="011825"/>
                <w:sz w:val="19"/>
                <w:szCs w:val="19"/>
              </w:rPr>
              <w:t xml:space="preserve"/>
            </w:r>
          </w:p>
        </w:tc>
      </w:tr>
      <w:tr>
        <w:tc>
          <w:tcPr>
            <w:tcW w:type="dxa" w:w="3200"/>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0" w:before="0" w:line="276"/>
            </w:pPr>
            <w:r>
              <w:rPr>
                <w:color w:val="4F6470"/>
                <w:sz w:val="19"/>
                <w:szCs w:val="19"/>
              </w:rPr>
              <w:t xml:space="preserve">Anzahl Wohneinheiten</w:t>
            </w:r>
          </w:p>
        </w:tc>
        <w:tc>
          <w:tcPr>
            <w:tcW w:type="dxa" w:w="5870"/>
            <w:tcBorders>
              <w:top w:val="none" w:color="FFFFFF" w:sz="0"/>
              <w:left w:val="none" w:color="FFFFFF" w:sz="0"/>
              <w:bottom w:val="dotted" w:color="8FA0A8" w:sz="4"/>
              <w:right w:val="none" w:color="FFFFFF" w:sz="0"/>
            </w:tcBorders>
            <w:tcMar>
              <w:top w:type="dxa" w:w="60"/>
              <w:left w:type="dxa" w:w="0"/>
              <w:bottom w:type="dxa" w:w="60"/>
              <w:right w:type="dxa" w:w="0"/>
            </w:tcMar>
          </w:tcPr>
          <w:p>
            <w:pPr>
              <w:spacing w:after="0" w:before="0" w:line="276"/>
            </w:pPr>
            <w:r>
              <w:rPr>
                <w:color w:val="011825"/>
                <w:sz w:val="19"/>
                <w:szCs w:val="19"/>
              </w:rPr>
              <w:t xml:space="preserve"/>
            </w:r>
          </w:p>
        </w:tc>
      </w:tr>
      <w:tr>
        <w:tc>
          <w:tcPr>
            <w:tcW w:type="dxa" w:w="3200"/>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0" w:before="0" w:line="276"/>
            </w:pPr>
            <w:r>
              <w:rPr>
                <w:color w:val="4F6470"/>
                <w:sz w:val="19"/>
                <w:szCs w:val="19"/>
              </w:rPr>
              <w:t xml:space="preserve">Miteigentumsanteile gesamt</w:t>
            </w:r>
          </w:p>
        </w:tc>
        <w:tc>
          <w:tcPr>
            <w:tcW w:type="dxa" w:w="5870"/>
            <w:tcBorders>
              <w:top w:val="none" w:color="FFFFFF" w:sz="0"/>
              <w:left w:val="none" w:color="FFFFFF" w:sz="0"/>
              <w:bottom w:val="dotted" w:color="8FA0A8" w:sz="4"/>
              <w:right w:val="none" w:color="FFFFFF" w:sz="0"/>
            </w:tcBorders>
            <w:tcMar>
              <w:top w:type="dxa" w:w="60"/>
              <w:left w:type="dxa" w:w="0"/>
              <w:bottom w:type="dxa" w:w="60"/>
              <w:right w:type="dxa" w:w="0"/>
            </w:tcMar>
          </w:tcPr>
          <w:p>
            <w:pPr>
              <w:spacing w:after="0" w:before="0" w:line="276"/>
            </w:pPr>
            <w:r>
              <w:rPr>
                <w:color w:val="011825"/>
                <w:sz w:val="19"/>
                <w:szCs w:val="19"/>
              </w:rPr>
              <w:t xml:space="preserve"/>
            </w:r>
          </w:p>
        </w:tc>
      </w:tr>
      <w:tr>
        <w:tc>
          <w:tcPr>
            <w:tcW w:type="dxa" w:w="3200"/>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0" w:before="0" w:line="276"/>
            </w:pPr>
            <w:r>
              <w:rPr>
                <w:color w:val="4F6470"/>
                <w:sz w:val="19"/>
                <w:szCs w:val="19"/>
              </w:rPr>
              <w:t xml:space="preserve">Antragsteller</w:t>
            </w:r>
          </w:p>
        </w:tc>
        <w:tc>
          <w:tcPr>
            <w:tcW w:type="dxa" w:w="5870"/>
            <w:tcBorders>
              <w:top w:val="none" w:color="FFFFFF" w:sz="0"/>
              <w:left w:val="none" w:color="FFFFFF" w:sz="0"/>
              <w:bottom w:val="dotted" w:color="8FA0A8" w:sz="4"/>
              <w:right w:val="none" w:color="FFFFFF" w:sz="0"/>
            </w:tcBorders>
            <w:tcMar>
              <w:top w:type="dxa" w:w="60"/>
              <w:left w:type="dxa" w:w="0"/>
              <w:bottom w:type="dxa" w:w="60"/>
              <w:right w:type="dxa" w:w="0"/>
            </w:tcMar>
          </w:tcPr>
          <w:p>
            <w:pPr>
              <w:spacing w:after="0" w:before="0" w:line="276"/>
            </w:pPr>
            <w:r>
              <w:rPr>
                <w:color w:val="011825"/>
                <w:sz w:val="19"/>
                <w:szCs w:val="19"/>
              </w:rPr>
              <w:t xml:space="preserve"/>
            </w:r>
          </w:p>
        </w:tc>
      </w:tr>
    </w:tbl>
    <w:p>
      <w:pPr>
        <w:pStyle w:val="Heading2"/>
        <w:keepNext/>
        <w:pBdr>
          <w:bottom w:val="single" w:color="C6CCCF" w:sz="4" w:space="4"/>
        </w:pBdr>
        <w:spacing w:after="110" w:before="280"/>
      </w:pPr>
      <w:r>
        <w:rPr>
          <w:b/>
          <w:bCs/>
          <w:color w:val="011825"/>
          <w:sz w:val="23"/>
          <w:szCs w:val="23"/>
        </w:rPr>
        <w:t xml:space="preserve">Sachverhalt – Begründung zum Tagesordnungspunkt</w:t>
      </w:r>
    </w:p>
    <w:p>
      <w:pPr>
        <w:spacing w:after="160" w:before="0" w:line="276"/>
      </w:pPr>
      <w:r>
        <w:rPr>
          <w:color w:val="4F6470"/>
          <w:sz w:val="19"/>
          <w:szCs w:val="19"/>
        </w:rPr>
        <w:t xml:space="preserve">Der folgende Text gehört in die Einladung, damit sich alle Eigentümer vorbereiten können. Halten Sie ihn sachlich und nennen Sie Zahlen.</w:t>
      </w:r>
    </w:p>
    <w:tbl>
      <w:tblPr>
        <w:tblW w:type="dxa" w:w="9070"/>
        <w:tblBorders>
          <w:top w:val="single" w:color="C6CCCF" w:sz="4"/>
          <w:left w:val="single" w:color="C6CCCF" w:sz="18"/>
          <w:bottom w:val="single" w:color="C6CCCF" w:sz="4"/>
          <w:right w:val="single" w:color="C6CCCF" w:sz="4"/>
          <w:insideH w:val="none" w:color="FFFFFF" w:sz="0"/>
          <w:insideV w:val="none" w:color="FFFFFF" w:sz="0"/>
        </w:tblBorders>
      </w:tblPr>
      <w:tblGrid>
        <w:gridCol w:w="9070"/>
      </w:tblGrid>
      <w:tr>
        <w:tc>
          <w:tcPr>
            <w:tcW w:type="dxa" w:w="9070"/>
            <w:shd w:fill="FFFFFF" w:color="auto" w:val="clear"/>
            <w:tcMar>
              <w:top w:type="dxa" w:w="160"/>
              <w:left w:type="dxa" w:w="160"/>
              <w:bottom w:type="dxa" w:w="160"/>
              <w:right w:type="dxa" w:w="160"/>
            </w:tcMar>
          </w:tcPr>
          <w:p>
            <w:pPr>
              <w:spacing w:after="100" w:line="276"/>
            </w:pPr>
            <w:r>
              <w:rPr>
                <w:color w:val="011825"/>
                <w:sz w:val="20"/>
                <w:szCs w:val="20"/>
              </w:rPr>
              <w:t xml:space="preserve">Das Gebäude </w:t>
            </w:r>
            <w:r>
              <w:rPr>
                <w:b/>
                <w:bCs/>
                <w:color w:val="011825"/>
                <w:sz w:val="20"/>
                <w:szCs w:val="20"/>
              </w:rPr>
              <w:t xml:space="preserve">[Objekt]</w:t>
            </w:r>
            <w:r>
              <w:rPr>
                <w:color w:val="011825"/>
                <w:sz w:val="20"/>
                <w:szCs w:val="20"/>
              </w:rPr>
              <w:t xml:space="preserve"> wurde </w:t>
            </w:r>
            <w:r>
              <w:rPr>
                <w:b/>
                <w:bCs/>
                <w:color w:val="011825"/>
                <w:sz w:val="20"/>
                <w:szCs w:val="20"/>
              </w:rPr>
              <w:t xml:space="preserve">[Baujahr]</w:t>
            </w:r>
            <w:r>
              <w:rPr>
                <w:color w:val="011825"/>
                <w:sz w:val="20"/>
                <w:szCs w:val="20"/>
              </w:rPr>
              <w:t xml:space="preserve"> errichtet. </w:t>
            </w:r>
            <w:r>
              <w:rPr>
                <w:b/>
                <w:bCs/>
                <w:color w:val="011825"/>
                <w:sz w:val="20"/>
                <w:szCs w:val="20"/>
              </w:rPr>
              <w:t xml:space="preserve">[Bauteil / Anlagenteil]</w:t>
            </w:r>
            <w:r>
              <w:rPr>
                <w:color w:val="011825"/>
                <w:sz w:val="20"/>
                <w:szCs w:val="20"/>
              </w:rPr>
              <w:t xml:space="preserve"> befindet sich im </w:t>
            </w:r>
            <w:r>
              <w:rPr>
                <w:b/>
                <w:bCs/>
                <w:color w:val="011825"/>
                <w:sz w:val="20"/>
                <w:szCs w:val="20"/>
              </w:rPr>
              <w:t xml:space="preserve">[ursprünglichen / sanierten]</w:t>
            </w:r>
            <w:r>
              <w:rPr>
                <w:color w:val="011825"/>
                <w:sz w:val="20"/>
                <w:szCs w:val="20"/>
              </w:rPr>
              <w:t xml:space="preserve"> Zustand. </w:t>
            </w:r>
            <w:r>
              <w:rPr>
                <w:i/>
                <w:iCs/>
                <w:color w:val="011825"/>
                <w:sz w:val="20"/>
                <w:szCs w:val="20"/>
              </w:rPr>
              <w:t xml:space="preserve">[Kurze Beschreibung des Problems: Zustand, Alter, Schäden, Verbrauch, gesetzliche Anforderung.]</w:t>
            </w:r>
          </w:p>
          <w:p>
            <w:pPr>
              <w:spacing w:after="100" w:line="276"/>
            </w:pPr>
            <w:r>
              <w:rPr>
                <w:color w:val="011825"/>
                <w:sz w:val="20"/>
                <w:szCs w:val="20"/>
              </w:rPr>
              <w:t xml:space="preserve">Die Gemeinschaft hat </w:t>
            </w:r>
            <w:r>
              <w:rPr>
                <w:b/>
                <w:bCs/>
                <w:color w:val="011825"/>
                <w:sz w:val="20"/>
                <w:szCs w:val="20"/>
              </w:rPr>
              <w:t xml:space="preserve">[Datum]</w:t>
            </w:r>
            <w:r>
              <w:rPr>
                <w:color w:val="011825"/>
                <w:sz w:val="20"/>
                <w:szCs w:val="20"/>
              </w:rPr>
              <w:t xml:space="preserve"> von </w:t>
            </w:r>
            <w:r>
              <w:rPr>
                <w:b/>
                <w:bCs/>
                <w:color w:val="011825"/>
                <w:sz w:val="20"/>
                <w:szCs w:val="20"/>
              </w:rPr>
              <w:t xml:space="preserve">[Firma / Büro]</w:t>
            </w:r>
            <w:r>
              <w:rPr>
                <w:color w:val="011825"/>
                <w:sz w:val="20"/>
                <w:szCs w:val="20"/>
              </w:rPr>
              <w:t xml:space="preserve"> ein Angebot über </w:t>
            </w:r>
            <w:r>
              <w:rPr>
                <w:b/>
                <w:bCs/>
                <w:color w:val="011825"/>
                <w:sz w:val="20"/>
                <w:szCs w:val="20"/>
              </w:rPr>
              <w:t xml:space="preserve">[Betrag] Euro brutto</w:t>
            </w:r>
            <w:r>
              <w:rPr>
                <w:color w:val="011825"/>
                <w:sz w:val="20"/>
                <w:szCs w:val="20"/>
              </w:rPr>
              <w:t xml:space="preserve"> eingeholt. Die Erhaltungsrücklage beträgt derzeit </w:t>
            </w:r>
            <w:r>
              <w:rPr>
                <w:b/>
                <w:bCs/>
                <w:color w:val="011825"/>
                <w:sz w:val="20"/>
                <w:szCs w:val="20"/>
              </w:rPr>
              <w:t xml:space="preserve">[Betrag] Euro</w:t>
            </w:r>
            <w:r>
              <w:rPr>
                <w:color w:val="011825"/>
                <w:sz w:val="20"/>
                <w:szCs w:val="20"/>
              </w:rPr>
              <w:t xml:space="preserve">. Für die Maßnahme kommt nach derzeitigem Stand eine Förderung von bis zu </w:t>
            </w:r>
            <w:r>
              <w:rPr>
                <w:b/>
                <w:bCs/>
                <w:color w:val="011825"/>
                <w:sz w:val="20"/>
                <w:szCs w:val="20"/>
              </w:rPr>
              <w:t xml:space="preserve">[Betrag] Euro</w:t>
            </w:r>
            <w:r>
              <w:rPr>
                <w:color w:val="011825"/>
                <w:sz w:val="20"/>
                <w:szCs w:val="20"/>
              </w:rPr>
              <w:t xml:space="preserve"> in Betracht.</w:t>
            </w:r>
          </w:p>
          <w:p>
            <w:pPr>
              <w:spacing w:after="0" w:line="276"/>
            </w:pPr>
            <w:r>
              <w:rPr>
                <w:color w:val="011825"/>
                <w:sz w:val="20"/>
                <w:szCs w:val="20"/>
              </w:rPr>
              <w:t xml:space="preserve">Ohne die Maßnahme ist mit </w:t>
            </w:r>
            <w:r>
              <w:rPr>
                <w:i/>
                <w:iCs/>
                <w:color w:val="011825"/>
                <w:sz w:val="20"/>
                <w:szCs w:val="20"/>
              </w:rPr>
              <w:t xml:space="preserve">[Folge: steigende Betriebskosten, Folgeschäden, Ausfallrisiko der Heizung, Wertverlust]</w:t>
            </w:r>
            <w:r>
              <w:rPr>
                <w:color w:val="011825"/>
                <w:sz w:val="20"/>
                <w:szCs w:val="20"/>
              </w:rPr>
              <w:t xml:space="preserve"> zu rechnen.</w:t>
            </w:r>
          </w:p>
        </w:tc>
      </w:tr>
    </w:tbl>
    <w:p>
      <w:pPr>
        <w:pStyle w:val="Heading2"/>
        <w:keepNext/>
        <w:pBdr>
          <w:bottom w:val="single" w:color="C6CCCF" w:sz="4" w:space="4"/>
        </w:pBdr>
        <w:spacing w:after="110" w:before="280"/>
      </w:pPr>
      <w:r>
        <w:rPr>
          <w:b/>
          <w:bCs/>
          <w:color w:val="011825"/>
          <w:sz w:val="23"/>
          <w:szCs w:val="23"/>
        </w:rPr>
        <w:t xml:space="preserve">Beschlussvorschlag A – Beauftragung einer Energieberatung</w:t>
      </w:r>
    </w:p>
    <w:p>
      <w:pPr>
        <w:spacing w:after="160" w:before="0" w:line="276"/>
      </w:pPr>
      <w:r>
        <w:rPr>
          <w:color w:val="4F6470"/>
          <w:sz w:val="19"/>
          <w:szCs w:val="19"/>
        </w:rPr>
        <w:t xml:space="preserve">Für den Einstieg: Die Gemeinschaft beschließt zunächst nur die Untersuchung, nicht die Maßnahme selbst. Das senkt die Hürde und schafft die Entscheidungsgrundlage für die nächste Versammlung.</w:t>
      </w:r>
    </w:p>
    <w:tbl>
      <w:tblPr>
        <w:tblW w:type="dxa" w:w="9070"/>
        <w:tblBorders>
          <w:top w:val="single" w:color="C6CCCF" w:sz="4"/>
          <w:left w:val="single" w:color="82C80F" w:sz="18"/>
          <w:bottom w:val="single" w:color="C6CCCF" w:sz="4"/>
          <w:right w:val="single" w:color="C6CCCF" w:sz="4"/>
          <w:insideH w:val="none" w:color="FFFFFF" w:sz="0"/>
          <w:insideV w:val="none" w:color="FFFFFF" w:sz="0"/>
        </w:tblBorders>
      </w:tblPr>
      <w:tblGrid>
        <w:gridCol w:w="9070"/>
      </w:tblGrid>
      <w:tr>
        <w:tc>
          <w:tcPr>
            <w:tcW w:type="dxa" w:w="9070"/>
            <w:shd w:fill="F4F6F7" w:color="auto" w:val="clear"/>
            <w:tcMar>
              <w:top w:type="dxa" w:w="160"/>
              <w:left w:type="dxa" w:w="160"/>
              <w:bottom w:type="dxa" w:w="160"/>
              <w:right w:type="dxa" w:w="160"/>
            </w:tcMar>
          </w:tcPr>
          <w:p>
            <w:pPr>
              <w:spacing w:after="100" w:before="0" w:line="276"/>
            </w:pPr>
            <w:r>
              <w:rPr>
                <w:b/>
                <w:bCs/>
                <w:color w:val="011825"/>
                <w:sz w:val="19"/>
                <w:szCs w:val="19"/>
              </w:rPr>
              <w:t xml:space="preserve">Beschluss</w:t>
            </w:r>
          </w:p>
          <w:p>
            <w:pPr>
              <w:spacing w:after="100" w:line="276"/>
            </w:pPr>
            <w:r>
              <w:rPr>
                <w:color w:val="011825"/>
                <w:sz w:val="20"/>
                <w:szCs w:val="20"/>
              </w:rPr>
              <w:t xml:space="preserve">Die Wohnungseigentümergemeinschaft beschließt, </w:t>
            </w:r>
            <w:r>
              <w:rPr>
                <w:b/>
                <w:bCs/>
                <w:color w:val="011825"/>
                <w:sz w:val="20"/>
                <w:szCs w:val="20"/>
              </w:rPr>
              <w:t xml:space="preserve">[Name des Büros]</w:t>
            </w:r>
            <w:r>
              <w:rPr>
                <w:color w:val="011825"/>
                <w:sz w:val="20"/>
                <w:szCs w:val="20"/>
              </w:rPr>
              <w:t xml:space="preserve"> mit einer Energieberatung für das Gebäude </w:t>
            </w:r>
            <w:r>
              <w:rPr>
                <w:b/>
                <w:bCs/>
                <w:color w:val="011825"/>
                <w:sz w:val="20"/>
                <w:szCs w:val="20"/>
              </w:rPr>
              <w:t xml:space="preserve">[Objekt]</w:t>
            </w:r>
            <w:r>
              <w:rPr>
                <w:color w:val="011825"/>
                <w:sz w:val="20"/>
                <w:szCs w:val="20"/>
              </w:rPr>
              <w:t xml:space="preserve"> nach Maßgabe des Angebots vom </w:t>
            </w:r>
            <w:r>
              <w:rPr>
                <w:b/>
                <w:bCs/>
                <w:color w:val="011825"/>
                <w:sz w:val="20"/>
                <w:szCs w:val="20"/>
              </w:rPr>
              <w:t xml:space="preserve">[Datum]</w:t>
            </w:r>
            <w:r>
              <w:rPr>
                <w:color w:val="011825"/>
                <w:sz w:val="20"/>
                <w:szCs w:val="20"/>
              </w:rPr>
              <w:t xml:space="preserve"> über </w:t>
            </w:r>
            <w:r>
              <w:rPr>
                <w:b/>
                <w:bCs/>
                <w:color w:val="011825"/>
                <w:sz w:val="20"/>
                <w:szCs w:val="20"/>
              </w:rPr>
              <w:t xml:space="preserve">[Betrag] Euro brutto</w:t>
            </w:r>
            <w:r>
              <w:rPr>
                <w:color w:val="011825"/>
                <w:sz w:val="20"/>
                <w:szCs w:val="20"/>
              </w:rPr>
              <w:t xml:space="preserve"> zu beauftragen. Die Beratung umfasst die Aufnahme des Gebäudes, die Bewertung von Gebäudehülle und Anlagentechnik sowie einen Vorschlag zur Reihenfolge der Maßnahmen einschließlich Kosten- und Förderübersicht.</w:t>
            </w:r>
          </w:p>
          <w:p>
            <w:pPr>
              <w:spacing w:after="0" w:line="276"/>
            </w:pPr>
            <w:r>
              <w:rPr>
                <w:color w:val="011825"/>
                <w:sz w:val="20"/>
                <w:szCs w:val="20"/>
              </w:rPr>
              <w:t xml:space="preserve">Die Kosten werden aus der Erhaltungsrücklage entnommen. Die Verwaltung wird ermächtigt, den Vertrag abzuschließen und das Ergebnis in der nächsten ordentlichen Eigentümerversammlung vorzustellen.</w:t>
            </w:r>
          </w:p>
        </w:tc>
      </w:tr>
    </w:tbl>
    <w:p>
      <w:pPr>
        <w:spacing w:after="0" w:before="0" w:line="276"/>
      </w:pPr>
      <w:r>
        <w:rPr>
          <w:color w:val="4F6470"/>
          <w:sz w:val="19"/>
          <w:szCs w:val="19"/>
        </w:rPr>
        <w:t xml:space="preserve">Mehrheit: einfache Mehrheit der abgegebenen Stimmen. Eine Energieberatung ist eine Maßnahme ordnungsmäßiger Verwaltung, keine bauliche Veränderung.</w:t>
      </w:r>
    </w:p>
    <w:p>
      <w:pPr>
        <w:pStyle w:val="Heading2"/>
        <w:keepNext/>
        <w:pBdr>
          <w:bottom w:val="single" w:color="C6CCCF" w:sz="4" w:space="4"/>
        </w:pBdr>
        <w:spacing w:after="110" w:before="280"/>
      </w:pPr>
      <w:r>
        <w:rPr>
          <w:b/>
          <w:bCs/>
          <w:color w:val="011825"/>
          <w:sz w:val="23"/>
          <w:szCs w:val="23"/>
        </w:rPr>
        <w:t xml:space="preserve">Beschlussvorschlag B – Durchführung einer energetischen Maßnahme</w:t>
      </w:r>
    </w:p>
    <w:tbl>
      <w:tblPr>
        <w:tblW w:type="dxa" w:w="9070"/>
        <w:tblBorders>
          <w:top w:val="single" w:color="C6CCCF" w:sz="4"/>
          <w:left w:val="single" w:color="82C80F" w:sz="18"/>
          <w:bottom w:val="single" w:color="C6CCCF" w:sz="4"/>
          <w:right w:val="single" w:color="C6CCCF" w:sz="4"/>
          <w:insideH w:val="none" w:color="FFFFFF" w:sz="0"/>
          <w:insideV w:val="none" w:color="FFFFFF" w:sz="0"/>
        </w:tblBorders>
      </w:tblPr>
      <w:tblGrid>
        <w:gridCol w:w="9070"/>
      </w:tblGrid>
      <w:tr>
        <w:tc>
          <w:tcPr>
            <w:tcW w:type="dxa" w:w="9070"/>
            <w:shd w:fill="F4F6F7" w:color="auto" w:val="clear"/>
            <w:tcMar>
              <w:top w:type="dxa" w:w="160"/>
              <w:left w:type="dxa" w:w="160"/>
              <w:bottom w:type="dxa" w:w="160"/>
              <w:right w:type="dxa" w:w="160"/>
            </w:tcMar>
          </w:tcPr>
          <w:p>
            <w:pPr>
              <w:spacing w:after="100" w:before="0" w:line="276"/>
            </w:pPr>
            <w:r>
              <w:rPr>
                <w:b/>
                <w:bCs/>
                <w:color w:val="011825"/>
                <w:sz w:val="19"/>
                <w:szCs w:val="19"/>
              </w:rPr>
              <w:t xml:space="preserve">Beschluss</w:t>
            </w:r>
          </w:p>
          <w:p>
            <w:pPr>
              <w:spacing w:after="100" w:line="276"/>
            </w:pPr>
            <w:r>
              <w:rPr>
                <w:color w:val="011825"/>
                <w:sz w:val="20"/>
                <w:szCs w:val="20"/>
              </w:rPr>
              <w:t xml:space="preserve">Die Wohnungseigentümergemeinschaft beschließt die Durchführung folgender Maßnahme am Gemeinschaftseigentum: </w:t>
            </w:r>
            <w:r>
              <w:rPr>
                <w:b/>
                <w:bCs/>
                <w:color w:val="011825"/>
                <w:sz w:val="20"/>
                <w:szCs w:val="20"/>
              </w:rPr>
              <w:t xml:space="preserve">[Maßnahme, z. B. Dämmung der obersten Geschossdecke / Austausch der Heizungsanlage / Erneuerung der Fenster im Treppenhaus]</w:t>
            </w:r>
            <w:r>
              <w:rPr>
                <w:color w:val="011825"/>
                <w:sz w:val="20"/>
                <w:szCs w:val="20"/>
              </w:rPr>
              <w:t xml:space="preserve">.</w:t>
            </w:r>
          </w:p>
          <w:p>
            <w:pPr>
              <w:spacing w:after="100" w:line="276"/>
            </w:pPr>
            <w:r>
              <w:rPr>
                <w:color w:val="011825"/>
                <w:sz w:val="20"/>
                <w:szCs w:val="20"/>
              </w:rPr>
              <w:t xml:space="preserve">Die Verwaltung wird beauftragt und bevollmächtigt, die Maßnahme auf Grundlage des Angebots der Firma </w:t>
            </w:r>
            <w:r>
              <w:rPr>
                <w:b/>
                <w:bCs/>
                <w:color w:val="011825"/>
                <w:sz w:val="20"/>
                <w:szCs w:val="20"/>
              </w:rPr>
              <w:t xml:space="preserve">[Firma]</w:t>
            </w:r>
            <w:r>
              <w:rPr>
                <w:color w:val="011825"/>
                <w:sz w:val="20"/>
                <w:szCs w:val="20"/>
              </w:rPr>
              <w:t xml:space="preserve"> vom </w:t>
            </w:r>
            <w:r>
              <w:rPr>
                <w:b/>
                <w:bCs/>
                <w:color w:val="011825"/>
                <w:sz w:val="20"/>
                <w:szCs w:val="20"/>
              </w:rPr>
              <w:t xml:space="preserve">[Datum]</w:t>
            </w:r>
            <w:r>
              <w:rPr>
                <w:color w:val="011825"/>
                <w:sz w:val="20"/>
                <w:szCs w:val="20"/>
              </w:rPr>
              <w:t xml:space="preserve"> über </w:t>
            </w:r>
            <w:r>
              <w:rPr>
                <w:b/>
                <w:bCs/>
                <w:color w:val="011825"/>
                <w:sz w:val="20"/>
                <w:szCs w:val="20"/>
              </w:rPr>
              <w:t xml:space="preserve">[Betrag] Euro brutto</w:t>
            </w:r>
            <w:r>
              <w:rPr>
                <w:color w:val="011825"/>
                <w:sz w:val="20"/>
                <w:szCs w:val="20"/>
              </w:rPr>
              <w:t xml:space="preserve"> zu vergeben. Die Gesamtkosten sind auf </w:t>
            </w:r>
            <w:r>
              <w:rPr>
                <w:b/>
                <w:bCs/>
                <w:color w:val="011825"/>
                <w:sz w:val="20"/>
                <w:szCs w:val="20"/>
              </w:rPr>
              <w:t xml:space="preserve">[Betrag] Euro brutto</w:t>
            </w:r>
            <w:r>
              <w:rPr>
                <w:color w:val="011825"/>
                <w:sz w:val="20"/>
                <w:szCs w:val="20"/>
              </w:rPr>
              <w:t xml:space="preserve"> begrenzt. Wird dieser Betrag voraussichtlich überschritten, ist vor der Vergabe ein erneuter Beschluss herbeizuführen.</w:t>
            </w:r>
          </w:p>
          <w:p>
            <w:pPr>
              <w:spacing w:after="100" w:line="276"/>
            </w:pPr>
            <w:r>
              <w:rPr>
                <w:color w:val="011825"/>
                <w:sz w:val="20"/>
                <w:szCs w:val="20"/>
              </w:rPr>
              <w:t xml:space="preserve">Mit der Planung, Ausschreibung und Baubegleitung wird </w:t>
            </w:r>
            <w:r>
              <w:rPr>
                <w:b/>
                <w:bCs/>
                <w:color w:val="011825"/>
                <w:sz w:val="20"/>
                <w:szCs w:val="20"/>
              </w:rPr>
              <w:t xml:space="preserve">[Büro]</w:t>
            </w:r>
            <w:r>
              <w:rPr>
                <w:color w:val="011825"/>
                <w:sz w:val="20"/>
                <w:szCs w:val="20"/>
              </w:rPr>
              <w:t xml:space="preserve"> nach Angebot vom </w:t>
            </w:r>
            <w:r>
              <w:rPr>
                <w:b/>
                <w:bCs/>
                <w:color w:val="011825"/>
                <w:sz w:val="20"/>
                <w:szCs w:val="20"/>
              </w:rPr>
              <w:t xml:space="preserve">[Datum]</w:t>
            </w:r>
            <w:r>
              <w:rPr>
                <w:color w:val="011825"/>
                <w:sz w:val="20"/>
                <w:szCs w:val="20"/>
              </w:rPr>
              <w:t xml:space="preserve"> über </w:t>
            </w:r>
            <w:r>
              <w:rPr>
                <w:b/>
                <w:bCs/>
                <w:color w:val="011825"/>
                <w:sz w:val="20"/>
                <w:szCs w:val="20"/>
              </w:rPr>
              <w:t xml:space="preserve">[Betrag] Euro brutto</w:t>
            </w:r>
            <w:r>
              <w:rPr>
                <w:color w:val="011825"/>
                <w:sz w:val="20"/>
                <w:szCs w:val="20"/>
              </w:rPr>
              <w:t xml:space="preserve"> beauftragt.</w:t>
            </w:r>
          </w:p>
          <w:p>
            <w:pPr>
              <w:spacing w:after="0" w:line="276"/>
            </w:pPr>
            <w:r>
              <w:rPr>
                <w:color w:val="011825"/>
                <w:sz w:val="20"/>
                <w:szCs w:val="20"/>
              </w:rPr>
              <w:t xml:space="preserve">Die Finanzierung erfolgt </w:t>
            </w:r>
            <w:r>
              <w:rPr>
                <w:b/>
                <w:bCs/>
                <w:color w:val="011825"/>
                <w:sz w:val="20"/>
                <w:szCs w:val="20"/>
              </w:rPr>
              <w:t xml:space="preserve">[Variante aus dem Abschnitt Finanzierung einsetzen]</w:t>
            </w:r>
            <w:r>
              <w:rPr>
                <w:color w:val="011825"/>
                <w:sz w:val="20"/>
                <w:szCs w:val="20"/>
              </w:rPr>
              <w:t xml:space="preserve">. Die Ausführung soll im Zeitraum </w:t>
            </w:r>
            <w:r>
              <w:rPr>
                <w:b/>
                <w:bCs/>
                <w:color w:val="011825"/>
                <w:sz w:val="20"/>
                <w:szCs w:val="20"/>
              </w:rPr>
              <w:t xml:space="preserve">[Zeitraum]</w:t>
            </w:r>
            <w:r>
              <w:rPr>
                <w:color w:val="011825"/>
                <w:sz w:val="20"/>
                <w:szCs w:val="20"/>
              </w:rPr>
              <w:t xml:space="preserve"> erfolgen.</w:t>
            </w:r>
          </w:p>
        </w:tc>
      </w:tr>
    </w:tbl>
    <w:p>
      <w:pPr>
        <w:spacing w:after="0" w:before="0" w:line="276"/>
      </w:pPr>
      <w:r>
        <w:rPr>
          <w:color w:val="4F6470"/>
          <w:sz w:val="19"/>
          <w:szCs w:val="19"/>
        </w:rPr>
        <w:t xml:space="preserve">Mehrheit: Über die Maßnahme selbst wird mit einfacher Mehrheit beschlossen (§ 20 Abs. 1 WEG). Wer die Kosten trägt, hängt vom Abstimmungsergebnis ab – siehe Hinweise am Ende.</w:t>
      </w:r>
    </w:p>
    <w:p>
      <w:pPr>
        <w:pStyle w:val="Heading2"/>
        <w:keepNext/>
        <w:pBdr>
          <w:bottom w:val="single" w:color="C6CCCF" w:sz="4" w:space="4"/>
        </w:pBdr>
        <w:spacing w:after="110" w:before="280"/>
      </w:pPr>
      <w:r>
        <w:rPr>
          <w:b/>
          <w:bCs/>
          <w:color w:val="011825"/>
          <w:sz w:val="23"/>
          <w:szCs w:val="23"/>
        </w:rPr>
        <w:t xml:space="preserve">Beschlussvorschlag C – Ermächtigung zur Förderantragstellung</w:t>
      </w:r>
    </w:p>
    <w:tbl>
      <w:tblPr>
        <w:tblW w:type="dxa" w:w="9070"/>
        <w:tblBorders>
          <w:top w:val="single" w:color="C6CCCF" w:sz="4"/>
          <w:left w:val="single" w:color="82C80F" w:sz="18"/>
          <w:bottom w:val="single" w:color="C6CCCF" w:sz="4"/>
          <w:right w:val="single" w:color="C6CCCF" w:sz="4"/>
          <w:insideH w:val="none" w:color="FFFFFF" w:sz="0"/>
          <w:insideV w:val="none" w:color="FFFFFF" w:sz="0"/>
        </w:tblBorders>
      </w:tblPr>
      <w:tblGrid>
        <w:gridCol w:w="9070"/>
      </w:tblGrid>
      <w:tr>
        <w:tc>
          <w:tcPr>
            <w:tcW w:type="dxa" w:w="9070"/>
            <w:shd w:fill="F4F6F7" w:color="auto" w:val="clear"/>
            <w:tcMar>
              <w:top w:type="dxa" w:w="160"/>
              <w:left w:type="dxa" w:w="160"/>
              <w:bottom w:type="dxa" w:w="160"/>
              <w:right w:type="dxa" w:w="160"/>
            </w:tcMar>
          </w:tcPr>
          <w:p>
            <w:pPr>
              <w:spacing w:after="100" w:before="0" w:line="276"/>
            </w:pPr>
            <w:r>
              <w:rPr>
                <w:b/>
                <w:bCs/>
                <w:color w:val="011825"/>
                <w:sz w:val="19"/>
                <w:szCs w:val="19"/>
              </w:rPr>
              <w:t xml:space="preserve">Beschluss</w:t>
            </w:r>
          </w:p>
          <w:p>
            <w:pPr>
              <w:spacing w:after="100" w:line="276"/>
            </w:pPr>
            <w:r>
              <w:rPr>
                <w:color w:val="011825"/>
                <w:sz w:val="20"/>
                <w:szCs w:val="20"/>
              </w:rPr>
              <w:t xml:space="preserve">Die Verwaltung wird ermächtigt, für die unter TOP </w:t>
            </w:r>
            <w:r>
              <w:rPr>
                <w:b/>
                <w:bCs/>
                <w:color w:val="011825"/>
                <w:sz w:val="20"/>
                <w:szCs w:val="20"/>
              </w:rPr>
              <w:t xml:space="preserve">[Nr.]</w:t>
            </w:r>
            <w:r>
              <w:rPr>
                <w:color w:val="011825"/>
                <w:sz w:val="20"/>
                <w:szCs w:val="20"/>
              </w:rPr>
              <w:t xml:space="preserve"> beschlossene Maßnahme sämtliche Förderanträge im Namen der Gemeinschaft zu stellen, die dafür erforderlichen Erklärungen abzugeben und </w:t>
            </w:r>
            <w:r>
              <w:rPr>
                <w:b/>
                <w:bCs/>
                <w:color w:val="011825"/>
                <w:sz w:val="20"/>
                <w:szCs w:val="20"/>
              </w:rPr>
              <w:t xml:space="preserve">[Name des Büros]</w:t>
            </w:r>
            <w:r>
              <w:rPr>
                <w:color w:val="011825"/>
                <w:sz w:val="20"/>
                <w:szCs w:val="20"/>
              </w:rPr>
              <w:t xml:space="preserve"> als Energie-Effizienz-Expertin oder -Experten mit der Antragsbearbeitung und dem Verwendungsnachweis zu beauftragen.</w:t>
            </w:r>
          </w:p>
          <w:p>
            <w:pPr>
              <w:spacing w:after="0" w:line="276"/>
            </w:pPr>
            <w:r>
              <w:rPr>
                <w:color w:val="011825"/>
                <w:sz w:val="20"/>
                <w:szCs w:val="20"/>
              </w:rPr>
              <w:t xml:space="preserve">Die Vergabe der Bauleistungen erfolgt erst nach Eingang der Förderzusage oder auf Grundlage eines Vertrages mit aufschiebender Bedingung. Wird die Förderung nicht bewilligt, ist vor der Ausführung erneut zu beschließen.</w:t>
            </w:r>
          </w:p>
        </w:tc>
      </w:tr>
    </w:tbl>
    <w:p>
      <w:pPr>
        <w:spacing w:after="0" w:before="0" w:line="276"/>
      </w:pPr>
      <w:r>
        <w:rPr>
          <w:color w:val="4F6470"/>
          <w:sz w:val="19"/>
          <w:szCs w:val="19"/>
        </w:rPr>
        <w:t xml:space="preserve">Der zweite Absatz ist wichtig: Wer vor der Antragstellung rechtsverbindlich beauftragt, verliert den Förderanspruch.</w:t>
      </w:r>
    </w:p>
    <w:p>
      <w:pPr>
        <w:pStyle w:val="Heading2"/>
        <w:keepNext/>
        <w:pBdr>
          <w:bottom w:val="single" w:color="C6CCCF" w:sz="4" w:space="4"/>
        </w:pBdr>
        <w:spacing w:after="110" w:before="280"/>
      </w:pPr>
      <w:r>
        <w:rPr>
          <w:b/>
          <w:bCs/>
          <w:color w:val="011825"/>
          <w:sz w:val="23"/>
          <w:szCs w:val="23"/>
        </w:rPr>
        <w:t xml:space="preserve">Finanzierung – eine Variante auswählen</w:t>
      </w:r>
    </w:p>
    <w:p>
      <w:pPr>
        <w:spacing w:after="90" w:line="276"/>
        <w:ind w:left="220" w:hanging="220"/>
      </w:pPr>
      <w:r>
        <w:rPr>
          <w:rFonts w:ascii="DejaVu Sans" w:cs="DejaVu Sans" w:eastAsia="DejaVu Sans" w:hAnsi="DejaVu Sans"/>
          <w:color w:val="011825"/>
          <w:sz w:val="22"/>
          <w:szCs w:val="22"/>
        </w:rPr>
        <w:t xml:space="preserve">☐</w:t>
      </w:r>
      <w:r>
        <w:rPr>
          <w:color w:val="011825"/>
          <w:sz w:val="20"/>
          <w:szCs w:val="20"/>
        </w:rPr>
        <w:t xml:space="preserve">  Entnahme aus der Erhaltungsrücklage in Höhe von [Betrag] Euro.</w:t>
      </w:r>
    </w:p>
    <w:p>
      <w:pPr>
        <w:spacing w:after="90" w:line="276"/>
        <w:ind w:left="220" w:hanging="220"/>
      </w:pPr>
      <w:r>
        <w:rPr>
          <w:rFonts w:ascii="DejaVu Sans" w:cs="DejaVu Sans" w:eastAsia="DejaVu Sans" w:hAnsi="DejaVu Sans"/>
          <w:color w:val="011825"/>
          <w:sz w:val="22"/>
          <w:szCs w:val="22"/>
        </w:rPr>
        <w:t xml:space="preserve">☐</w:t>
      </w:r>
      <w:r>
        <w:rPr>
          <w:color w:val="011825"/>
          <w:sz w:val="20"/>
          <w:szCs w:val="20"/>
        </w:rPr>
        <w:t xml:space="preserve">  Erhebung einer Sonderumlage in Höhe von [Betrag] Euro, verteilt nach [Miteigentumsanteilen / abweichendem Schlüssel], fällig in [einer Rate / [Anzahl] Raten] zum [Datum].</w:t>
      </w:r>
    </w:p>
    <w:p>
      <w:pPr>
        <w:spacing w:after="90" w:line="276"/>
        <w:ind w:left="220" w:hanging="220"/>
      </w:pPr>
      <w:r>
        <w:rPr>
          <w:rFonts w:ascii="DejaVu Sans" w:cs="DejaVu Sans" w:eastAsia="DejaVu Sans" w:hAnsi="DejaVu Sans"/>
          <w:color w:val="011825"/>
          <w:sz w:val="22"/>
          <w:szCs w:val="22"/>
        </w:rPr>
        <w:t xml:space="preserve">☐</w:t>
      </w:r>
      <w:r>
        <w:rPr>
          <w:color w:val="011825"/>
          <w:sz w:val="20"/>
          <w:szCs w:val="20"/>
        </w:rPr>
        <w:t xml:space="preserve">  Kombination: [Betrag] Euro aus der Erhaltungsrücklage, [Betrag] Euro über eine Sonderumlage.</w:t>
      </w:r>
    </w:p>
    <w:p>
      <w:pPr>
        <w:spacing w:after="90" w:line="276"/>
        <w:ind w:left="220" w:hanging="220"/>
      </w:pPr>
      <w:r>
        <w:rPr>
          <w:rFonts w:ascii="DejaVu Sans" w:cs="DejaVu Sans" w:eastAsia="DejaVu Sans" w:hAnsi="DejaVu Sans"/>
          <w:color w:val="011825"/>
          <w:sz w:val="22"/>
          <w:szCs w:val="22"/>
        </w:rPr>
        <w:t xml:space="preserve">☐</w:t>
      </w:r>
      <w:r>
        <w:rPr>
          <w:color w:val="011825"/>
          <w:sz w:val="20"/>
          <w:szCs w:val="20"/>
        </w:rPr>
        <w:t xml:space="preserve">  Aufnahme eines Darlehens der Gemeinschaft über [Betrag] Euro mit einer Laufzeit von [Anzahl] Jahren zu den Konditionen des Angebots vom [Datum].</w:t>
      </w:r>
    </w:p>
    <w:p>
      <w:pPr>
        <w:spacing w:after="0" w:before="120" w:line="276"/>
      </w:pPr>
      <w:r>
        <w:rPr>
          <w:color w:val="4F6470"/>
          <w:sz w:val="19"/>
          <w:szCs w:val="19"/>
        </w:rPr>
        <w:t xml:space="preserve">Eine Sonderumlage braucht einen eigenen Beschluss mit Betrag, Verteilungsschlüssel und Fälligkeit. Bei einem Darlehen der Gemeinschaft gehören Laufzeit, Zinssatz und Rückzahlungsweg in den Beschlusstext; die Eigentümer sollten vorher schriftlich über die Risiken informiert werden.</w:t>
      </w:r>
    </w:p>
    <w:p>
      <w:pPr>
        <w:pStyle w:val="Heading2"/>
        <w:keepNext/>
        <w:pBdr>
          <w:bottom w:val="single" w:color="C6CCCF" w:sz="4" w:space="4"/>
        </w:pBdr>
        <w:spacing w:after="110" w:before="280"/>
      </w:pPr>
      <w:r>
        <w:rPr>
          <w:b/>
          <w:bCs/>
          <w:color w:val="011825"/>
          <w:sz w:val="23"/>
          <w:szCs w:val="23"/>
        </w:rPr>
        <w:t xml:space="preserve">Abstimmung und Ergebnis</w:t>
      </w:r>
    </w:p>
    <w:tbl>
      <w:tblPr>
        <w:tblW w:type="dxa" w:w="9070"/>
        <w:tblBorders>
          <w:top w:val="none" w:color="FFFFFF" w:sz="0"/>
          <w:left w:val="none" w:color="FFFFFF" w:sz="0"/>
          <w:bottom w:val="single" w:color="DDE1E3" w:sz="4"/>
          <w:right w:val="none" w:color="FFFFFF" w:sz="0"/>
          <w:insideH w:val="single" w:color="DDE1E3" w:sz="4"/>
          <w:insideV w:val="none" w:color="FFFFFF" w:sz="0"/>
        </w:tblBorders>
      </w:tblPr>
      <w:tblGrid>
        <w:gridCol w:w="2870"/>
        <w:gridCol w:w="1300"/>
        <w:gridCol w:w="1300"/>
        <w:gridCol w:w="1500"/>
        <w:gridCol w:w="2100"/>
      </w:tblGrid>
      <w:tr>
        <w:trPr>
          <w:tblHeader/>
        </w:trPr>
        <w:tc>
          <w:tcPr>
            <w:tcW w:type="dxa" w:w="2870"/>
            <w:tcMar>
              <w:top w:type="dxa" w:w="90"/>
              <w:left w:type="dxa" w:w="110"/>
              <w:bottom w:type="dxa" w:w="90"/>
              <w:right w:type="dxa" w:w="110"/>
            </w:tcMar>
          </w:tcPr>
          <w:p>
            <w:pPr>
              <w:spacing w:after="0" w:line="260"/>
            </w:pPr>
            <w:r>
              <w:rPr>
                <w:b/>
                <w:bCs/>
                <w:caps/>
                <w:color w:val="4F6470"/>
                <w:sz w:val="17"/>
                <w:szCs w:val="17"/>
              </w:rPr>
              <w:t xml:space="preserve">Beschluss</w:t>
            </w:r>
          </w:p>
        </w:tc>
        <w:tc>
          <w:tcPr>
            <w:tcW w:type="dxa" w:w="1300"/>
            <w:tcMar>
              <w:top w:type="dxa" w:w="90"/>
              <w:left w:type="dxa" w:w="110"/>
              <w:bottom w:type="dxa" w:w="90"/>
              <w:right w:type="dxa" w:w="110"/>
            </w:tcMar>
          </w:tcPr>
          <w:p>
            <w:pPr>
              <w:spacing w:after="0" w:line="260"/>
              <w:jc w:val="center"/>
            </w:pPr>
            <w:r>
              <w:rPr>
                <w:b/>
                <w:bCs/>
                <w:caps/>
                <w:color w:val="4F6470"/>
                <w:sz w:val="17"/>
                <w:szCs w:val="17"/>
              </w:rPr>
              <w:t xml:space="preserve">Ja</w:t>
            </w:r>
          </w:p>
        </w:tc>
        <w:tc>
          <w:tcPr>
            <w:tcW w:type="dxa" w:w="1300"/>
            <w:tcMar>
              <w:top w:type="dxa" w:w="90"/>
              <w:left w:type="dxa" w:w="110"/>
              <w:bottom w:type="dxa" w:w="90"/>
              <w:right w:type="dxa" w:w="110"/>
            </w:tcMar>
          </w:tcPr>
          <w:p>
            <w:pPr>
              <w:spacing w:after="0" w:line="260"/>
              <w:jc w:val="center"/>
            </w:pPr>
            <w:r>
              <w:rPr>
                <w:b/>
                <w:bCs/>
                <w:caps/>
                <w:color w:val="4F6470"/>
                <w:sz w:val="17"/>
                <w:szCs w:val="17"/>
              </w:rPr>
              <w:t xml:space="preserve">Nein</w:t>
            </w:r>
          </w:p>
        </w:tc>
        <w:tc>
          <w:tcPr>
            <w:tcW w:type="dxa" w:w="1500"/>
            <w:tcMar>
              <w:top w:type="dxa" w:w="90"/>
              <w:left w:type="dxa" w:w="110"/>
              <w:bottom w:type="dxa" w:w="90"/>
              <w:right w:type="dxa" w:w="110"/>
            </w:tcMar>
          </w:tcPr>
          <w:p>
            <w:pPr>
              <w:spacing w:after="0" w:line="260"/>
              <w:jc w:val="center"/>
            </w:pPr>
            <w:r>
              <w:rPr>
                <w:b/>
                <w:bCs/>
                <w:caps/>
                <w:color w:val="4F6470"/>
                <w:sz w:val="17"/>
                <w:szCs w:val="17"/>
              </w:rPr>
              <w:t xml:space="preserve">Enthaltung</w:t>
            </w:r>
          </w:p>
        </w:tc>
        <w:tc>
          <w:tcPr>
            <w:tcW w:type="dxa" w:w="2100"/>
            <w:tcMar>
              <w:top w:type="dxa" w:w="90"/>
              <w:left w:type="dxa" w:w="110"/>
              <w:bottom w:type="dxa" w:w="90"/>
              <w:right w:type="dxa" w:w="110"/>
            </w:tcMar>
          </w:tcPr>
          <w:p>
            <w:pPr>
              <w:spacing w:after="0" w:line="260"/>
              <w:jc w:val="center"/>
            </w:pPr>
            <w:r>
              <w:rPr>
                <w:b/>
                <w:bCs/>
                <w:caps/>
                <w:color w:val="4F6470"/>
                <w:sz w:val="17"/>
                <w:szCs w:val="17"/>
              </w:rPr>
              <w:t xml:space="preserve">Ergebnis</w:t>
            </w:r>
          </w:p>
        </w:tc>
      </w:tr>
      <w:tr>
        <w:trPr>
          <w:trHeight w:val="520" w:hRule="atLeast"/>
        </w:trPr>
        <w:tc>
          <w:tcPr>
            <w:tcW w:type="dxa" w:w="2870"/>
            <w:tcMar>
              <w:top w:type="dxa" w:w="90"/>
              <w:left w:type="dxa" w:w="110"/>
              <w:bottom w:type="dxa" w:w="90"/>
              <w:right w:type="dxa" w:w="110"/>
            </w:tcMar>
          </w:tcPr>
          <w:p>
            <w:pPr>
              <w:spacing w:after="0" w:line="260"/>
            </w:pPr>
            <w:r>
              <w:rPr>
                <w:color w:val="011825"/>
                <w:sz w:val="19"/>
                <w:szCs w:val="19"/>
              </w:rPr>
              <w:t xml:space="preserve">A – Energieberatung</w:t>
            </w:r>
          </w:p>
        </w:tc>
        <w:tc>
          <w:tcPr>
            <w:tcW w:type="dxa" w:w="1300"/>
            <w:tcMar>
              <w:top w:type="dxa" w:w="90"/>
              <w:left w:type="dxa" w:w="110"/>
              <w:bottom w:type="dxa" w:w="90"/>
              <w:right w:type="dxa" w:w="110"/>
            </w:tcMar>
          </w:tcPr>
          <w:p>
            <w:pPr>
              <w:spacing w:after="0" w:line="260"/>
              <w:jc w:val="center"/>
            </w:pPr>
            <w:r>
              <w:rPr>
                <w:color w:val="011825"/>
                <w:sz w:val="19"/>
                <w:szCs w:val="19"/>
              </w:rPr>
              <w:t xml:space="preserve"/>
            </w:r>
          </w:p>
        </w:tc>
        <w:tc>
          <w:tcPr>
            <w:tcW w:type="dxa" w:w="1300"/>
            <w:tcMar>
              <w:top w:type="dxa" w:w="90"/>
              <w:left w:type="dxa" w:w="110"/>
              <w:bottom w:type="dxa" w:w="90"/>
              <w:right w:type="dxa" w:w="110"/>
            </w:tcMar>
          </w:tcPr>
          <w:p>
            <w:pPr>
              <w:spacing w:after="0" w:line="260"/>
              <w:jc w:val="center"/>
            </w:pPr>
            <w:r>
              <w:rPr>
                <w:color w:val="011825"/>
                <w:sz w:val="19"/>
                <w:szCs w:val="19"/>
              </w:rPr>
              <w:t xml:space="preserve"/>
            </w:r>
          </w:p>
        </w:tc>
        <w:tc>
          <w:tcPr>
            <w:tcW w:type="dxa" w:w="1500"/>
            <w:tcMar>
              <w:top w:type="dxa" w:w="90"/>
              <w:left w:type="dxa" w:w="110"/>
              <w:bottom w:type="dxa" w:w="90"/>
              <w:right w:type="dxa" w:w="110"/>
            </w:tcMar>
          </w:tcPr>
          <w:p>
            <w:pPr>
              <w:spacing w:after="0" w:line="260"/>
              <w:jc w:val="center"/>
            </w:pPr>
            <w:r>
              <w:rPr>
                <w:color w:val="011825"/>
                <w:sz w:val="19"/>
                <w:szCs w:val="19"/>
              </w:rPr>
              <w:t xml:space="preserve"/>
            </w:r>
          </w:p>
        </w:tc>
        <w:tc>
          <w:tcPr>
            <w:tcW w:type="dxa" w:w="2100"/>
            <w:tcMar>
              <w:top w:type="dxa" w:w="90"/>
              <w:left w:type="dxa" w:w="110"/>
              <w:bottom w:type="dxa" w:w="90"/>
              <w:right w:type="dxa" w:w="110"/>
            </w:tcMar>
          </w:tcPr>
          <w:p>
            <w:pPr>
              <w:spacing w:after="0" w:line="260"/>
              <w:jc w:val="center"/>
            </w:pPr>
            <w:r>
              <w:rPr>
                <w:color w:val="011825"/>
                <w:sz w:val="19"/>
                <w:szCs w:val="19"/>
              </w:rPr>
              <w:t xml:space="preserve"/>
            </w:r>
          </w:p>
        </w:tc>
      </w:tr>
      <w:tr>
        <w:trPr>
          <w:trHeight w:val="520" w:hRule="atLeast"/>
        </w:trPr>
        <w:tc>
          <w:tcPr>
            <w:tcW w:type="dxa" w:w="2870"/>
            <w:tcMar>
              <w:top w:type="dxa" w:w="90"/>
              <w:left w:type="dxa" w:w="110"/>
              <w:bottom w:type="dxa" w:w="90"/>
              <w:right w:type="dxa" w:w="110"/>
            </w:tcMar>
          </w:tcPr>
          <w:p>
            <w:pPr>
              <w:spacing w:after="0" w:line="260"/>
            </w:pPr>
            <w:r>
              <w:rPr>
                <w:color w:val="011825"/>
                <w:sz w:val="19"/>
                <w:szCs w:val="19"/>
              </w:rPr>
              <w:t xml:space="preserve">B – Maßnahme</w:t>
            </w:r>
          </w:p>
        </w:tc>
        <w:tc>
          <w:tcPr>
            <w:tcW w:type="dxa" w:w="1300"/>
            <w:tcMar>
              <w:top w:type="dxa" w:w="90"/>
              <w:left w:type="dxa" w:w="110"/>
              <w:bottom w:type="dxa" w:w="90"/>
              <w:right w:type="dxa" w:w="110"/>
            </w:tcMar>
          </w:tcPr>
          <w:p>
            <w:pPr>
              <w:spacing w:after="0" w:line="260"/>
              <w:jc w:val="center"/>
            </w:pPr>
            <w:r>
              <w:rPr>
                <w:color w:val="011825"/>
                <w:sz w:val="19"/>
                <w:szCs w:val="19"/>
              </w:rPr>
              <w:t xml:space="preserve"/>
            </w:r>
          </w:p>
        </w:tc>
        <w:tc>
          <w:tcPr>
            <w:tcW w:type="dxa" w:w="1300"/>
            <w:tcMar>
              <w:top w:type="dxa" w:w="90"/>
              <w:left w:type="dxa" w:w="110"/>
              <w:bottom w:type="dxa" w:w="90"/>
              <w:right w:type="dxa" w:w="110"/>
            </w:tcMar>
          </w:tcPr>
          <w:p>
            <w:pPr>
              <w:spacing w:after="0" w:line="260"/>
              <w:jc w:val="center"/>
            </w:pPr>
            <w:r>
              <w:rPr>
                <w:color w:val="011825"/>
                <w:sz w:val="19"/>
                <w:szCs w:val="19"/>
              </w:rPr>
              <w:t xml:space="preserve"/>
            </w:r>
          </w:p>
        </w:tc>
        <w:tc>
          <w:tcPr>
            <w:tcW w:type="dxa" w:w="1500"/>
            <w:tcMar>
              <w:top w:type="dxa" w:w="90"/>
              <w:left w:type="dxa" w:w="110"/>
              <w:bottom w:type="dxa" w:w="90"/>
              <w:right w:type="dxa" w:w="110"/>
            </w:tcMar>
          </w:tcPr>
          <w:p>
            <w:pPr>
              <w:spacing w:after="0" w:line="260"/>
              <w:jc w:val="center"/>
            </w:pPr>
            <w:r>
              <w:rPr>
                <w:color w:val="011825"/>
                <w:sz w:val="19"/>
                <w:szCs w:val="19"/>
              </w:rPr>
              <w:t xml:space="preserve"/>
            </w:r>
          </w:p>
        </w:tc>
        <w:tc>
          <w:tcPr>
            <w:tcW w:type="dxa" w:w="2100"/>
            <w:tcMar>
              <w:top w:type="dxa" w:w="90"/>
              <w:left w:type="dxa" w:w="110"/>
              <w:bottom w:type="dxa" w:w="90"/>
              <w:right w:type="dxa" w:w="110"/>
            </w:tcMar>
          </w:tcPr>
          <w:p>
            <w:pPr>
              <w:spacing w:after="0" w:line="260"/>
              <w:jc w:val="center"/>
            </w:pPr>
            <w:r>
              <w:rPr>
                <w:color w:val="011825"/>
                <w:sz w:val="19"/>
                <w:szCs w:val="19"/>
              </w:rPr>
              <w:t xml:space="preserve"/>
            </w:r>
          </w:p>
        </w:tc>
      </w:tr>
      <w:tr>
        <w:trPr>
          <w:trHeight w:val="520" w:hRule="atLeast"/>
        </w:trPr>
        <w:tc>
          <w:tcPr>
            <w:tcW w:type="dxa" w:w="2870"/>
            <w:tcMar>
              <w:top w:type="dxa" w:w="90"/>
              <w:left w:type="dxa" w:w="110"/>
              <w:bottom w:type="dxa" w:w="90"/>
              <w:right w:type="dxa" w:w="110"/>
            </w:tcMar>
          </w:tcPr>
          <w:p>
            <w:pPr>
              <w:spacing w:after="0" w:line="260"/>
            </w:pPr>
            <w:r>
              <w:rPr>
                <w:color w:val="011825"/>
                <w:sz w:val="19"/>
                <w:szCs w:val="19"/>
              </w:rPr>
              <w:t xml:space="preserve">C – Förderantrag</w:t>
            </w:r>
          </w:p>
        </w:tc>
        <w:tc>
          <w:tcPr>
            <w:tcW w:type="dxa" w:w="1300"/>
            <w:tcMar>
              <w:top w:type="dxa" w:w="90"/>
              <w:left w:type="dxa" w:w="110"/>
              <w:bottom w:type="dxa" w:w="90"/>
              <w:right w:type="dxa" w:w="110"/>
            </w:tcMar>
          </w:tcPr>
          <w:p>
            <w:pPr>
              <w:spacing w:after="0" w:line="260"/>
              <w:jc w:val="center"/>
            </w:pPr>
            <w:r>
              <w:rPr>
                <w:color w:val="011825"/>
                <w:sz w:val="19"/>
                <w:szCs w:val="19"/>
              </w:rPr>
              <w:t xml:space="preserve"/>
            </w:r>
          </w:p>
        </w:tc>
        <w:tc>
          <w:tcPr>
            <w:tcW w:type="dxa" w:w="1300"/>
            <w:tcMar>
              <w:top w:type="dxa" w:w="90"/>
              <w:left w:type="dxa" w:w="110"/>
              <w:bottom w:type="dxa" w:w="90"/>
              <w:right w:type="dxa" w:w="110"/>
            </w:tcMar>
          </w:tcPr>
          <w:p>
            <w:pPr>
              <w:spacing w:after="0" w:line="260"/>
              <w:jc w:val="center"/>
            </w:pPr>
            <w:r>
              <w:rPr>
                <w:color w:val="011825"/>
                <w:sz w:val="19"/>
                <w:szCs w:val="19"/>
              </w:rPr>
              <w:t xml:space="preserve"/>
            </w:r>
          </w:p>
        </w:tc>
        <w:tc>
          <w:tcPr>
            <w:tcW w:type="dxa" w:w="1500"/>
            <w:tcMar>
              <w:top w:type="dxa" w:w="90"/>
              <w:left w:type="dxa" w:w="110"/>
              <w:bottom w:type="dxa" w:w="90"/>
              <w:right w:type="dxa" w:w="110"/>
            </w:tcMar>
          </w:tcPr>
          <w:p>
            <w:pPr>
              <w:spacing w:after="0" w:line="260"/>
              <w:jc w:val="center"/>
            </w:pPr>
            <w:r>
              <w:rPr>
                <w:color w:val="011825"/>
                <w:sz w:val="19"/>
                <w:szCs w:val="19"/>
              </w:rPr>
              <w:t xml:space="preserve"/>
            </w:r>
          </w:p>
        </w:tc>
        <w:tc>
          <w:tcPr>
            <w:tcW w:type="dxa" w:w="2100"/>
            <w:tcMar>
              <w:top w:type="dxa" w:w="90"/>
              <w:left w:type="dxa" w:w="110"/>
              <w:bottom w:type="dxa" w:w="90"/>
              <w:right w:type="dxa" w:w="110"/>
            </w:tcMar>
          </w:tcPr>
          <w:p>
            <w:pPr>
              <w:spacing w:after="0" w:line="260"/>
              <w:jc w:val="center"/>
            </w:pPr>
            <w:r>
              <w:rPr>
                <w:color w:val="011825"/>
                <w:sz w:val="19"/>
                <w:szCs w:val="19"/>
              </w:rPr>
              <w:t xml:space="preserve"/>
            </w:r>
          </w:p>
        </w:tc>
      </w:tr>
      <w:tr>
        <w:trPr>
          <w:trHeight w:val="520" w:hRule="atLeast"/>
        </w:trPr>
        <w:tc>
          <w:tcPr>
            <w:tcW w:type="dxa" w:w="2870"/>
            <w:tcMar>
              <w:top w:type="dxa" w:w="90"/>
              <w:left w:type="dxa" w:w="110"/>
              <w:bottom w:type="dxa" w:w="90"/>
              <w:right w:type="dxa" w:w="110"/>
            </w:tcMar>
          </w:tcPr>
          <w:p>
            <w:pPr>
              <w:spacing w:after="0" w:line="260"/>
            </w:pPr>
            <w:r>
              <w:rPr>
                <w:color w:val="011825"/>
                <w:sz w:val="19"/>
                <w:szCs w:val="19"/>
              </w:rPr>
              <w:t xml:space="preserve">Finanzierung</w:t>
            </w:r>
          </w:p>
        </w:tc>
        <w:tc>
          <w:tcPr>
            <w:tcW w:type="dxa" w:w="1300"/>
            <w:tcMar>
              <w:top w:type="dxa" w:w="90"/>
              <w:left w:type="dxa" w:w="110"/>
              <w:bottom w:type="dxa" w:w="90"/>
              <w:right w:type="dxa" w:w="110"/>
            </w:tcMar>
          </w:tcPr>
          <w:p>
            <w:pPr>
              <w:spacing w:after="0" w:line="260"/>
              <w:jc w:val="center"/>
            </w:pPr>
            <w:r>
              <w:rPr>
                <w:color w:val="011825"/>
                <w:sz w:val="19"/>
                <w:szCs w:val="19"/>
              </w:rPr>
              <w:t xml:space="preserve"/>
            </w:r>
          </w:p>
        </w:tc>
        <w:tc>
          <w:tcPr>
            <w:tcW w:type="dxa" w:w="1300"/>
            <w:tcMar>
              <w:top w:type="dxa" w:w="90"/>
              <w:left w:type="dxa" w:w="110"/>
              <w:bottom w:type="dxa" w:w="90"/>
              <w:right w:type="dxa" w:w="110"/>
            </w:tcMar>
          </w:tcPr>
          <w:p>
            <w:pPr>
              <w:spacing w:after="0" w:line="260"/>
              <w:jc w:val="center"/>
            </w:pPr>
            <w:r>
              <w:rPr>
                <w:color w:val="011825"/>
                <w:sz w:val="19"/>
                <w:szCs w:val="19"/>
              </w:rPr>
              <w:t xml:space="preserve"/>
            </w:r>
          </w:p>
        </w:tc>
        <w:tc>
          <w:tcPr>
            <w:tcW w:type="dxa" w:w="1500"/>
            <w:tcMar>
              <w:top w:type="dxa" w:w="90"/>
              <w:left w:type="dxa" w:w="110"/>
              <w:bottom w:type="dxa" w:w="90"/>
              <w:right w:type="dxa" w:w="110"/>
            </w:tcMar>
          </w:tcPr>
          <w:p>
            <w:pPr>
              <w:spacing w:after="0" w:line="260"/>
              <w:jc w:val="center"/>
            </w:pPr>
            <w:r>
              <w:rPr>
                <w:color w:val="011825"/>
                <w:sz w:val="19"/>
                <w:szCs w:val="19"/>
              </w:rPr>
              <w:t xml:space="preserve"/>
            </w:r>
          </w:p>
        </w:tc>
        <w:tc>
          <w:tcPr>
            <w:tcW w:type="dxa" w:w="2100"/>
            <w:tcMar>
              <w:top w:type="dxa" w:w="90"/>
              <w:left w:type="dxa" w:w="110"/>
              <w:bottom w:type="dxa" w:w="90"/>
              <w:right w:type="dxa" w:w="110"/>
            </w:tcMar>
          </w:tcPr>
          <w:p>
            <w:pPr>
              <w:spacing w:after="0" w:line="260"/>
              <w:jc w:val="center"/>
            </w:pPr>
            <w:r>
              <w:rPr>
                <w:color w:val="011825"/>
                <w:sz w:val="19"/>
                <w:szCs w:val="19"/>
              </w:rPr>
              <w:t xml:space="preserve"/>
            </w:r>
          </w:p>
        </w:tc>
      </w:tr>
    </w:tbl>
    <w:p>
      <w:pPr>
        <w:spacing w:after="100" w:before="200" w:line="276"/>
      </w:pPr>
      <w:r>
        <w:rPr>
          <w:color w:val="4F6470"/>
          <w:sz w:val="19"/>
          <w:szCs w:val="19"/>
        </w:rPr>
        <w:t xml:space="preserve">Bei Beschlussvorschlag B zusätzlich festhalten:</w:t>
      </w:r>
    </w:p>
    <w:tbl>
      <w:tblPr>
        <w:tblW w:type="dxa" w:w="9070"/>
        <w:tblBorders>
          <w:top w:val="none" w:color="FFFFFF" w:sz="0"/>
          <w:left w:val="none" w:color="FFFFFF" w:sz="0"/>
          <w:bottom w:val="none" w:color="FFFFFF" w:sz="0"/>
          <w:right w:val="none" w:color="FFFFFF" w:sz="0"/>
          <w:insideH w:val="none" w:color="FFFFFF" w:sz="0"/>
          <w:insideV w:val="none" w:color="FFFFFF" w:sz="0"/>
        </w:tblBorders>
      </w:tblPr>
      <w:tblGrid>
        <w:gridCol w:w="3200"/>
        <w:gridCol w:w="5870"/>
      </w:tblGrid>
      <w:tr>
        <w:tc>
          <w:tcPr>
            <w:tcW w:type="dxa" w:w="3200"/>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0" w:before="0" w:line="276"/>
            </w:pPr>
            <w:r>
              <w:rPr>
                <w:color w:val="4F6470"/>
                <w:sz w:val="19"/>
                <w:szCs w:val="19"/>
              </w:rPr>
              <w:t xml:space="preserve">Abgegebene Stimmen gesamt</w:t>
            </w:r>
          </w:p>
        </w:tc>
        <w:tc>
          <w:tcPr>
            <w:tcW w:type="dxa" w:w="5870"/>
            <w:tcBorders>
              <w:top w:val="none" w:color="FFFFFF" w:sz="0"/>
              <w:left w:val="none" w:color="FFFFFF" w:sz="0"/>
              <w:bottom w:val="dotted" w:color="8FA0A8" w:sz="4"/>
              <w:right w:val="none" w:color="FFFFFF" w:sz="0"/>
            </w:tcBorders>
            <w:tcMar>
              <w:top w:type="dxa" w:w="60"/>
              <w:left w:type="dxa" w:w="0"/>
              <w:bottom w:type="dxa" w:w="60"/>
              <w:right w:type="dxa" w:w="0"/>
            </w:tcMar>
          </w:tcPr>
          <w:p>
            <w:pPr>
              <w:spacing w:after="0" w:before="0" w:line="276"/>
            </w:pPr>
            <w:r>
              <w:rPr>
                <w:color w:val="011825"/>
                <w:sz w:val="19"/>
                <w:szCs w:val="19"/>
              </w:rPr>
              <w:t xml:space="preserve"/>
            </w:r>
          </w:p>
        </w:tc>
      </w:tr>
      <w:tr>
        <w:tc>
          <w:tcPr>
            <w:tcW w:type="dxa" w:w="3200"/>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0" w:before="0" w:line="276"/>
            </w:pPr>
            <w:r>
              <w:rPr>
                <w:color w:val="4F6470"/>
                <w:sz w:val="19"/>
                <w:szCs w:val="19"/>
              </w:rPr>
              <w:t xml:space="preserve">Ja-Stimmen in Prozent</w:t>
            </w:r>
          </w:p>
        </w:tc>
        <w:tc>
          <w:tcPr>
            <w:tcW w:type="dxa" w:w="5870"/>
            <w:tcBorders>
              <w:top w:val="none" w:color="FFFFFF" w:sz="0"/>
              <w:left w:val="none" w:color="FFFFFF" w:sz="0"/>
              <w:bottom w:val="dotted" w:color="8FA0A8" w:sz="4"/>
              <w:right w:val="none" w:color="FFFFFF" w:sz="0"/>
            </w:tcBorders>
            <w:tcMar>
              <w:top w:type="dxa" w:w="60"/>
              <w:left w:type="dxa" w:w="0"/>
              <w:bottom w:type="dxa" w:w="60"/>
              <w:right w:type="dxa" w:w="0"/>
            </w:tcMar>
          </w:tcPr>
          <w:p>
            <w:pPr>
              <w:spacing w:after="0" w:before="0" w:line="276"/>
            </w:pPr>
            <w:r>
              <w:rPr>
                <w:color w:val="011825"/>
                <w:sz w:val="19"/>
                <w:szCs w:val="19"/>
              </w:rPr>
              <w:t xml:space="preserve"/>
            </w:r>
          </w:p>
        </w:tc>
      </w:tr>
      <w:tr>
        <w:tc>
          <w:tcPr>
            <w:tcW w:type="dxa" w:w="3200"/>
            <w:tcBorders>
              <w:top w:val="none" w:color="FFFFFF" w:sz="0"/>
              <w:left w:val="none" w:color="FFFFFF" w:sz="0"/>
              <w:bottom w:val="none" w:color="FFFFFF" w:sz="0"/>
              <w:right w:val="none" w:color="FFFFFF" w:sz="0"/>
            </w:tcBorders>
            <w:tcMar>
              <w:top w:type="dxa" w:w="60"/>
              <w:left w:type="dxa" w:w="0"/>
              <w:bottom w:type="dxa" w:w="60"/>
              <w:right w:type="dxa" w:w="120"/>
            </w:tcMar>
          </w:tcPr>
          <w:p>
            <w:pPr>
              <w:spacing w:after="0" w:before="0" w:line="276"/>
            </w:pPr>
            <w:r>
              <w:rPr>
                <w:color w:val="4F6470"/>
                <w:sz w:val="19"/>
                <w:szCs w:val="19"/>
              </w:rPr>
              <w:t xml:space="preserve">Auf die Ja-Stimmen entfallende Miteigentumsanteile</w:t>
            </w:r>
          </w:p>
        </w:tc>
        <w:tc>
          <w:tcPr>
            <w:tcW w:type="dxa" w:w="5870"/>
            <w:tcBorders>
              <w:top w:val="none" w:color="FFFFFF" w:sz="0"/>
              <w:left w:val="none" w:color="FFFFFF" w:sz="0"/>
              <w:bottom w:val="dotted" w:color="8FA0A8" w:sz="4"/>
              <w:right w:val="none" w:color="FFFFFF" w:sz="0"/>
            </w:tcBorders>
            <w:tcMar>
              <w:top w:type="dxa" w:w="60"/>
              <w:left w:type="dxa" w:w="0"/>
              <w:bottom w:type="dxa" w:w="60"/>
              <w:right w:type="dxa" w:w="0"/>
            </w:tcMar>
          </w:tcPr>
          <w:p>
            <w:pPr>
              <w:spacing w:after="0" w:before="0" w:line="276"/>
            </w:pPr>
            <w:r>
              <w:rPr>
                <w:color w:val="011825"/>
                <w:sz w:val="19"/>
                <w:szCs w:val="19"/>
              </w:rPr>
              <w:t xml:space="preserve"/>
            </w:r>
          </w:p>
        </w:tc>
      </w:tr>
    </w:tbl>
    <w:p>
      <w:pPr>
        <w:spacing w:after="0" w:before="0" w:line="276"/>
      </w:pPr>
      <w:r>
        <w:rPr>
          <w:color w:val="4F6470"/>
          <w:sz w:val="19"/>
          <w:szCs w:val="19"/>
        </w:rPr>
        <w:t xml:space="preserve">Diese beiden Werte entscheiden darüber, wer die Kosten trägt. Sie gehören ins Protokoll.</w:t>
      </w:r>
    </w:p>
    <w:p>
      <w:pPr>
        <w:pStyle w:val="Heading2"/>
        <w:keepNext/>
        <w:pBdr>
          <w:bottom w:val="single" w:color="C6CCCF" w:sz="4" w:space="4"/>
        </w:pBdr>
        <w:spacing w:after="110" w:before="280"/>
      </w:pPr>
      <w:r>
        <w:rPr>
          <w:b/>
          <w:bCs/>
          <w:color w:val="011825"/>
          <w:sz w:val="23"/>
          <w:szCs w:val="23"/>
        </w:rPr>
        <w:t xml:space="preserve">Hinweise zur Beschlussfassung</w:t>
      </w:r>
    </w:p>
    <w:p>
      <w:pPr>
        <w:pStyle w:val="Heading3"/>
        <w:keepNext/>
        <w:spacing w:after="80" w:before="200"/>
      </w:pPr>
      <w:r>
        <w:rPr>
          <w:b/>
          <w:bCs/>
          <w:color w:val="011825"/>
          <w:sz w:val="20"/>
          <w:szCs w:val="20"/>
        </w:rPr>
        <w:t xml:space="preserve">Mehrheiten</w:t>
      </w:r>
    </w:p>
    <w:p>
      <w:pPr>
        <w:pStyle w:val="ListParagraph"/>
        <w:numPr>
          <w:ilvl w:val="0"/>
          <w:numId w:val="3"/>
        </w:numPr>
        <w:spacing w:after="40" w:line="268"/>
      </w:pPr>
      <w:r>
        <w:rPr>
          <w:b/>
          <w:bCs/>
          <w:color w:val="011825"/>
          <w:sz w:val="20"/>
          <w:szCs w:val="20"/>
        </w:rPr>
        <w:t xml:space="preserve">Bauliche Veränderungen</w:t>
      </w:r>
      <w:r>
        <w:rPr>
          <w:color w:val="011825"/>
          <w:sz w:val="20"/>
          <w:szCs w:val="20"/>
        </w:rPr>
        <w:t xml:space="preserve"> werden seit der WEG-Reform 2020 mit einfacher Mehrheit der abgegebenen Stimmen beschlossen (§ 20 Abs. 1 WEG). Eine Zustimmung aller Betroffenen ist nicht mehr nötig.</w:t>
      </w:r>
    </w:p>
    <w:p>
      <w:pPr>
        <w:pStyle w:val="ListParagraph"/>
        <w:numPr>
          <w:ilvl w:val="0"/>
          <w:numId w:val="3"/>
        </w:numPr>
        <w:spacing w:after="40" w:line="268"/>
      </w:pPr>
      <w:r>
        <w:rPr>
          <w:b/>
          <w:bCs/>
          <w:color w:val="011825"/>
          <w:sz w:val="20"/>
          <w:szCs w:val="20"/>
        </w:rPr>
        <w:t xml:space="preserve">Die Versammlung ist beschlussfähig</w:t>
      </w:r>
      <w:r>
        <w:rPr>
          <w:color w:val="011825"/>
          <w:sz w:val="20"/>
          <w:szCs w:val="20"/>
        </w:rPr>
        <w:t xml:space="preserve"> ohne Rücksicht auf die Zahl der erschienenen oder vertretenen Eigentümer (§ 25 WEG). Das frühere Quorum von der Hälfte der Miteigentumsanteile gibt es nicht mehr.</w:t>
      </w:r>
    </w:p>
    <w:p>
      <w:pPr>
        <w:pStyle w:val="ListParagraph"/>
        <w:numPr>
          <w:ilvl w:val="0"/>
          <w:numId w:val="3"/>
        </w:numPr>
        <w:spacing w:after="40" w:line="268"/>
      </w:pPr>
      <w:r>
        <w:rPr>
          <w:b/>
          <w:bCs/>
          <w:color w:val="011825"/>
          <w:sz w:val="20"/>
          <w:szCs w:val="20"/>
        </w:rPr>
        <w:t xml:space="preserve">Erhaltungsmaßnahmen</w:t>
      </w:r>
      <w:r>
        <w:rPr>
          <w:color w:val="011825"/>
          <w:sz w:val="20"/>
          <w:szCs w:val="20"/>
        </w:rPr>
        <w:t xml:space="preserve"> – etwa der Austausch einer defekten Heizung gegen eine gleichwertige Anlage – sind ordnungsmäßige Verwaltung und keine bauliche Veränderung. Die Kosten tragen dann ohnehin alle nach dem geltenden Schlüssel.</w:t>
      </w:r>
    </w:p>
    <w:p>
      <w:pPr>
        <w:pStyle w:val="Heading3"/>
        <w:keepNext/>
        <w:spacing w:after="80" w:before="200"/>
      </w:pPr>
      <w:r>
        <w:rPr>
          <w:b/>
          <w:bCs/>
          <w:color w:val="011825"/>
          <w:sz w:val="20"/>
          <w:szCs w:val="20"/>
        </w:rPr>
        <w:t xml:space="preserve">Wer die Kosten trägt (§ 21 WEG)</w:t>
      </w:r>
    </w:p>
    <w:p>
      <w:pPr>
        <w:pStyle w:val="ListParagraph"/>
        <w:numPr>
          <w:ilvl w:val="0"/>
          <w:numId w:val="3"/>
        </w:numPr>
        <w:spacing w:after="40" w:line="268"/>
      </w:pPr>
      <w:r>
        <w:rPr>
          <w:color w:val="011825"/>
          <w:sz w:val="20"/>
          <w:szCs w:val="20"/>
        </w:rPr>
        <w:t xml:space="preserve">Wird die bauliche Veränderung mit </w:t>
      </w:r>
      <w:r>
        <w:rPr>
          <w:b/>
          <w:bCs/>
          <w:color w:val="011825"/>
          <w:sz w:val="20"/>
          <w:szCs w:val="20"/>
        </w:rPr>
        <w:t xml:space="preserve">mehr als zwei Dritteln der abgegebenen Stimmen und mehr als der Hälfte aller Miteigentumsanteile</w:t>
      </w:r>
      <w:r>
        <w:rPr>
          <w:color w:val="011825"/>
          <w:sz w:val="20"/>
          <w:szCs w:val="20"/>
        </w:rPr>
        <w:t xml:space="preserve"> beschlossen, tragen alle Eigentümer die Kosten nach dem geltenden Schlüssel – es sei denn, die Kosten sind unverhältnismäßig.</w:t>
      </w:r>
    </w:p>
    <w:p>
      <w:pPr>
        <w:pStyle w:val="ListParagraph"/>
        <w:numPr>
          <w:ilvl w:val="0"/>
          <w:numId w:val="3"/>
        </w:numPr>
        <w:spacing w:after="40" w:line="268"/>
      </w:pPr>
      <w:r>
        <w:rPr>
          <w:color w:val="011825"/>
          <w:sz w:val="20"/>
          <w:szCs w:val="20"/>
        </w:rPr>
        <w:t xml:space="preserve">Dasselbe gilt, wenn sich die Kosten </w:t>
      </w:r>
      <w:r>
        <w:rPr>
          <w:b/>
          <w:bCs/>
          <w:color w:val="011825"/>
          <w:sz w:val="20"/>
          <w:szCs w:val="20"/>
        </w:rPr>
        <w:t xml:space="preserve">innerhalb eines angemessenen Zeitraums amortisieren</w:t>
      </w:r>
      <w:r>
        <w:rPr>
          <w:color w:val="011825"/>
          <w:sz w:val="20"/>
          <w:szCs w:val="20"/>
        </w:rPr>
        <w:t xml:space="preserve">. Bei energetischen Maßnahmen ist das der häufigste Weg, alle einzubeziehen – die Amortisationsrechnung sollte deshalb der Einladung beiliegen.</w:t>
      </w:r>
    </w:p>
    <w:p>
      <w:pPr>
        <w:pStyle w:val="ListParagraph"/>
        <w:numPr>
          <w:ilvl w:val="0"/>
          <w:numId w:val="3"/>
        </w:numPr>
        <w:spacing w:after="40" w:line="268"/>
      </w:pPr>
      <w:r>
        <w:rPr>
          <w:color w:val="011825"/>
          <w:sz w:val="20"/>
          <w:szCs w:val="20"/>
        </w:rPr>
        <w:t xml:space="preserve">Reicht die Mehrheit nicht und amortisiert sich die Maßnahme nicht, tragen </w:t>
      </w:r>
      <w:r>
        <w:rPr>
          <w:b/>
          <w:bCs/>
          <w:color w:val="011825"/>
          <w:sz w:val="20"/>
          <w:szCs w:val="20"/>
        </w:rPr>
        <w:t xml:space="preserve">nur die zustimmenden Eigentümer</w:t>
      </w:r>
      <w:r>
        <w:rPr>
          <w:color w:val="011825"/>
          <w:sz w:val="20"/>
          <w:szCs w:val="20"/>
        </w:rPr>
        <w:t xml:space="preserve"> die Kosten – und nur sie dürfen die Veränderung nutzen.</w:t>
      </w:r>
    </w:p>
    <w:p>
      <w:pPr>
        <w:pStyle w:val="ListParagraph"/>
        <w:numPr>
          <w:ilvl w:val="0"/>
          <w:numId w:val="3"/>
        </w:numPr>
        <w:spacing w:after="40" w:line="268"/>
      </w:pPr>
      <w:r>
        <w:rPr>
          <w:color w:val="011825"/>
          <w:sz w:val="20"/>
          <w:szCs w:val="20"/>
        </w:rPr>
        <w:t xml:space="preserve">Eine </w:t>
      </w:r>
      <w:r>
        <w:rPr>
          <w:b/>
          <w:bCs/>
          <w:color w:val="011825"/>
          <w:sz w:val="20"/>
          <w:szCs w:val="20"/>
        </w:rPr>
        <w:t xml:space="preserve">grundlegende Umgestaltung</w:t>
      </w:r>
      <w:r>
        <w:rPr>
          <w:color w:val="011825"/>
          <w:sz w:val="20"/>
          <w:szCs w:val="20"/>
        </w:rPr>
        <w:t xml:space="preserve"> der Wohnanlage oder eine unbillige Benachteiligung einzelner Eigentümer darf nicht beschlossen werden (§ 20 Abs. 4 WEG).</w:t>
      </w:r>
    </w:p>
    <w:p>
      <w:pPr>
        <w:pStyle w:val="Heading3"/>
        <w:keepNext/>
        <w:spacing w:after="80" w:before="200"/>
      </w:pPr>
      <w:r>
        <w:rPr>
          <w:b/>
          <w:bCs/>
          <w:color w:val="011825"/>
          <w:sz w:val="20"/>
          <w:szCs w:val="20"/>
        </w:rPr>
        <w:t xml:space="preserve">Formalien</w:t>
      </w:r>
    </w:p>
    <w:p>
      <w:pPr>
        <w:pStyle w:val="ListParagraph"/>
        <w:numPr>
          <w:ilvl w:val="0"/>
          <w:numId w:val="3"/>
        </w:numPr>
        <w:spacing w:after="40" w:line="268"/>
      </w:pPr>
      <w:r>
        <w:rPr>
          <w:color w:val="011825"/>
          <w:sz w:val="20"/>
          <w:szCs w:val="20"/>
        </w:rPr>
        <w:t xml:space="preserve">Der Tagesordnungspunkt muss in der Einladung so konkret bezeichnet sein, dass sich jeder vorbereiten kann. „Verschiedenes" trägt keinen Beschluss.</w:t>
      </w:r>
    </w:p>
    <w:p>
      <w:pPr>
        <w:pStyle w:val="ListParagraph"/>
        <w:numPr>
          <w:ilvl w:val="0"/>
          <w:numId w:val="3"/>
        </w:numPr>
        <w:spacing w:after="40" w:line="268"/>
      </w:pPr>
      <w:r>
        <w:rPr>
          <w:color w:val="011825"/>
          <w:sz w:val="20"/>
          <w:szCs w:val="20"/>
        </w:rPr>
        <w:t xml:space="preserve">Der Beschlusstext gehört wörtlich ins Protokoll und in die Beschluss-Sammlung.</w:t>
      </w:r>
    </w:p>
    <w:p>
      <w:pPr>
        <w:pStyle w:val="ListParagraph"/>
        <w:numPr>
          <w:ilvl w:val="0"/>
          <w:numId w:val="3"/>
        </w:numPr>
        <w:spacing w:after="40" w:line="268"/>
      </w:pPr>
      <w:r>
        <w:rPr>
          <w:color w:val="011825"/>
          <w:sz w:val="20"/>
          <w:szCs w:val="20"/>
        </w:rPr>
        <w:t xml:space="preserve">Die Anfechtungsfrist beträgt einen Monat ab Beschlussfassung; die Klage ist gegen die Gemeinschaft zu richten.</w:t>
      </w:r>
    </w:p>
    <w:p>
      <w:pPr>
        <w:pStyle w:val="ListParagraph"/>
        <w:numPr>
          <w:ilvl w:val="0"/>
          <w:numId w:val="3"/>
        </w:numPr>
        <w:spacing w:after="40" w:line="268"/>
      </w:pPr>
      <w:r>
        <w:rPr>
          <w:color w:val="011825"/>
          <w:sz w:val="20"/>
          <w:szCs w:val="20"/>
        </w:rPr>
        <w:t xml:space="preserve">Vermietete Einheiten: Eine Modernisierungsumlage gegenüber Mietern richtet sich nach dem Mietrecht und ist von diesem Beschluss unabhängig.</w:t>
      </w:r>
    </w:p>
    <w:p>
      <w:pPr>
        <w:pStyle w:val="Heading2"/>
        <w:keepNext/>
        <w:pBdr>
          <w:bottom w:val="single" w:color="C6CCCF" w:sz="4" w:space="4"/>
        </w:pBdr>
        <w:spacing w:after="110" w:before="280"/>
      </w:pPr>
      <w:r>
        <w:rPr>
          <w:b/>
          <w:bCs/>
          <w:color w:val="011825"/>
          <w:sz w:val="23"/>
          <w:szCs w:val="23"/>
        </w:rPr>
        <w:t xml:space="preserve">Anlagen zur Einladung</w:t>
      </w:r>
    </w:p>
    <w:p>
      <w:pPr>
        <w:spacing w:after="90" w:line="276"/>
        <w:ind w:left="220" w:hanging="220"/>
      </w:pPr>
      <w:r>
        <w:rPr>
          <w:rFonts w:ascii="DejaVu Sans" w:cs="DejaVu Sans" w:eastAsia="DejaVu Sans" w:hAnsi="DejaVu Sans"/>
          <w:color w:val="011825"/>
          <w:sz w:val="22"/>
          <w:szCs w:val="22"/>
        </w:rPr>
        <w:t xml:space="preserve">☐</w:t>
      </w:r>
      <w:r>
        <w:rPr>
          <w:color w:val="011825"/>
          <w:sz w:val="20"/>
          <w:szCs w:val="20"/>
        </w:rPr>
        <w:t xml:space="preserve">  Angebot(e) der ausführenden Firmen</w:t>
      </w:r>
    </w:p>
    <w:p>
      <w:pPr>
        <w:spacing w:after="90" w:line="276"/>
        <w:ind w:left="220" w:hanging="220"/>
      </w:pPr>
      <w:r>
        <w:rPr>
          <w:rFonts w:ascii="DejaVu Sans" w:cs="DejaVu Sans" w:eastAsia="DejaVu Sans" w:hAnsi="DejaVu Sans"/>
          <w:color w:val="011825"/>
          <w:sz w:val="22"/>
          <w:szCs w:val="22"/>
        </w:rPr>
        <w:t xml:space="preserve">☐</w:t>
      </w:r>
      <w:r>
        <w:rPr>
          <w:color w:val="011825"/>
          <w:sz w:val="20"/>
          <w:szCs w:val="20"/>
        </w:rPr>
        <w:t xml:space="preserve">  Kostenschätzung oder Kostenberechnung</w:t>
      </w:r>
    </w:p>
    <w:p>
      <w:pPr>
        <w:spacing w:after="90" w:line="276"/>
        <w:ind w:left="220" w:hanging="220"/>
      </w:pPr>
      <w:r>
        <w:rPr>
          <w:rFonts w:ascii="DejaVu Sans" w:cs="DejaVu Sans" w:eastAsia="DejaVu Sans" w:hAnsi="DejaVu Sans"/>
          <w:color w:val="011825"/>
          <w:sz w:val="22"/>
          <w:szCs w:val="22"/>
        </w:rPr>
        <w:t xml:space="preserve">☐</w:t>
      </w:r>
      <w:r>
        <w:rPr>
          <w:color w:val="011825"/>
          <w:sz w:val="20"/>
          <w:szCs w:val="20"/>
        </w:rPr>
        <w:t xml:space="preserve">  Förderübersicht mit Antragsweg und Fristen</w:t>
      </w:r>
    </w:p>
    <w:p>
      <w:pPr>
        <w:spacing w:after="90" w:line="276"/>
        <w:ind w:left="220" w:hanging="220"/>
      </w:pPr>
      <w:r>
        <w:rPr>
          <w:rFonts w:ascii="DejaVu Sans" w:cs="DejaVu Sans" w:eastAsia="DejaVu Sans" w:hAnsi="DejaVu Sans"/>
          <w:color w:val="011825"/>
          <w:sz w:val="22"/>
          <w:szCs w:val="22"/>
        </w:rPr>
        <w:t xml:space="preserve">☐</w:t>
      </w:r>
      <w:r>
        <w:rPr>
          <w:color w:val="011825"/>
          <w:sz w:val="20"/>
          <w:szCs w:val="20"/>
        </w:rPr>
        <w:t xml:space="preserve">  Amortisationsrechnung, falls die Kosten auf alle verteilt werden sollen</w:t>
      </w:r>
    </w:p>
    <w:p>
      <w:pPr>
        <w:spacing w:after="90" w:line="276"/>
        <w:ind w:left="220" w:hanging="220"/>
      </w:pPr>
      <w:r>
        <w:rPr>
          <w:rFonts w:ascii="DejaVu Sans" w:cs="DejaVu Sans" w:eastAsia="DejaVu Sans" w:hAnsi="DejaVu Sans"/>
          <w:color w:val="011825"/>
          <w:sz w:val="22"/>
          <w:szCs w:val="22"/>
        </w:rPr>
        <w:t xml:space="preserve">☐</w:t>
      </w:r>
      <w:r>
        <w:rPr>
          <w:color w:val="011825"/>
          <w:sz w:val="20"/>
          <w:szCs w:val="20"/>
        </w:rPr>
        <w:t xml:space="preserve">  Individueller Sanierungsfahrplan oder Energieberatungsbericht, falls vorhanden</w:t>
      </w:r>
    </w:p>
    <w:p>
      <w:pPr>
        <w:spacing w:after="90" w:line="276"/>
        <w:ind w:left="220" w:hanging="220"/>
      </w:pPr>
      <w:r>
        <w:rPr>
          <w:rFonts w:ascii="DejaVu Sans" w:cs="DejaVu Sans" w:eastAsia="DejaVu Sans" w:hAnsi="DejaVu Sans"/>
          <w:color w:val="011825"/>
          <w:sz w:val="22"/>
          <w:szCs w:val="22"/>
        </w:rPr>
        <w:t xml:space="preserve">☐</w:t>
      </w:r>
      <w:r>
        <w:rPr>
          <w:color w:val="011825"/>
          <w:sz w:val="20"/>
          <w:szCs w:val="20"/>
        </w:rPr>
        <w:t xml:space="preserve">  Entwurf des Finanzierungsplans</w:t>
      </w:r>
    </w:p>
    <w:p>
      <w:pPr>
        <w:pStyle w:val="Heading2"/>
        <w:keepNext/>
        <w:pBdr>
          <w:bottom w:val="single" w:color="C6CCCF" w:sz="4" w:space="4"/>
        </w:pBdr>
        <w:spacing w:after="110" w:before="280"/>
      </w:pPr>
      <w:r>
        <w:rPr>
          <w:b/>
          <w:bCs/>
          <w:color w:val="011825"/>
          <w:sz w:val="23"/>
          <w:szCs w:val="23"/>
        </w:rPr>
        <w:t xml:space="preserve">Unterschriften</w:t>
      </w:r>
    </w:p>
    <w:tbl>
      <w:tblPr>
        <w:tblW w:type="dxa" w:w="9070"/>
        <w:tblBorders>
          <w:top w:val="none" w:color="FFFFFF" w:sz="0"/>
          <w:left w:val="none" w:color="FFFFFF" w:sz="0"/>
          <w:bottom w:val="none" w:color="FFFFFF" w:sz="0"/>
          <w:right w:val="none" w:color="FFFFFF" w:sz="0"/>
          <w:insideH w:val="none" w:color="FFFFFF" w:sz="0"/>
          <w:insideV w:val="none" w:color="FFFFFF" w:sz="0"/>
        </w:tblBorders>
      </w:tblPr>
      <w:tblGrid>
        <w:gridCol w:w="4535"/>
        <w:gridCol w:w="4535"/>
      </w:tblGrid>
      <w:tr>
        <w:tc>
          <w:tcPr>
            <w:tcW w:type="dxa" w:w="4535"/>
            <w:tcBorders>
              <w:top w:val="none" w:color="FFFFFF" w:sz="0"/>
              <w:left w:val="none" w:color="FFFFFF" w:sz="0"/>
              <w:bottom w:val="none" w:color="FFFFFF" w:sz="0"/>
              <w:right w:val="none" w:color="FFFFFF" w:sz="0"/>
            </w:tcBorders>
            <w:tcMar>
              <w:top w:type="dxa" w:w="360"/>
              <w:left w:type="dxa" w:w="0"/>
              <w:bottom w:type="dxa" w:w="0"/>
              <w:right w:type="dxa" w:w="300"/>
            </w:tcMar>
          </w:tcPr>
          <w:p>
            <w:pPr>
              <w:pBdr>
                <w:top w:val="single" w:color="8FA0A8" w:sz="4" w:space="2"/>
              </w:pBdr>
              <w:spacing w:after="40"/>
            </w:pPr>
            <w:r>
              <w:rPr>
                <w:sz w:val="19"/>
                <w:szCs w:val="19"/>
              </w:rPr>
              <w:t xml:space="preserve"/>
            </w:r>
          </w:p>
          <w:p>
            <w:pPr>
              <w:spacing w:after="0" w:before="0" w:line="276"/>
            </w:pPr>
            <w:r>
              <w:rPr>
                <w:color w:val="4F6470"/>
                <w:sz w:val="18"/>
                <w:szCs w:val="18"/>
              </w:rPr>
              <w:t xml:space="preserve">Versammlungsleitung</w:t>
            </w:r>
          </w:p>
        </w:tc>
        <w:tc>
          <w:tcPr>
            <w:tcW w:type="dxa" w:w="4535"/>
            <w:tcBorders>
              <w:top w:val="none" w:color="FFFFFF" w:sz="0"/>
              <w:left w:val="none" w:color="FFFFFF" w:sz="0"/>
              <w:bottom w:val="none" w:color="FFFFFF" w:sz="0"/>
              <w:right w:val="none" w:color="FFFFFF" w:sz="0"/>
            </w:tcBorders>
            <w:tcMar>
              <w:top w:type="dxa" w:w="360"/>
              <w:left w:type="dxa" w:w="300"/>
              <w:bottom w:type="dxa" w:w="0"/>
              <w:right w:type="dxa" w:w="0"/>
            </w:tcMar>
          </w:tcPr>
          <w:p>
            <w:pPr>
              <w:pBdr>
                <w:top w:val="single" w:color="8FA0A8" w:sz="4" w:space="2"/>
              </w:pBdr>
              <w:spacing w:after="40"/>
            </w:pPr>
            <w:r>
              <w:rPr>
                <w:sz w:val="19"/>
                <w:szCs w:val="19"/>
              </w:rPr>
              <w:t xml:space="preserve"/>
            </w:r>
          </w:p>
          <w:p>
            <w:pPr>
              <w:spacing w:after="0" w:before="0" w:line="276"/>
            </w:pPr>
            <w:r>
              <w:rPr>
                <w:color w:val="4F6470"/>
                <w:sz w:val="18"/>
                <w:szCs w:val="18"/>
              </w:rPr>
              <w:t xml:space="preserve">Verwaltungsbeirat</w:t>
            </w:r>
          </w:p>
        </w:tc>
      </w:tr>
    </w:tbl>
    <w:p>
      <w:pPr>
        <w:pBdr>
          <w:top w:val="single" w:color="C6CCCF" w:sz="4" w:space="8"/>
        </w:pBdr>
        <w:spacing w:after="0" w:before="300" w:line="240"/>
      </w:pPr>
      <w:r>
        <w:rPr>
          <w:color w:val="4F6470"/>
          <w:sz w:val="16"/>
          <w:szCs w:val="16"/>
        </w:rPr>
        <w:t xml:space="preserve">Rechtsgrundlagen: Wohnungseigentumsgesetz (WEG) in der seit dem 1. Dezember 2020 geltenden Fassung, insbesondere §§ 20, 21, 24 und 25. Zusammenstellung: Energieberatung Kungu, Stand September 2026. Dieses Muster ersetzt keine Rechtsberatung im Einzelfall.</w:t>
      </w:r>
    </w:p>
    <w:sectPr>
      <w:headerReference w:type="default" r:id="rId7"/>
      <w:footerReference w:type="default" r:id="rId8"/>
      <w:pgSz w:w="11906" w:h="16838" w:orient="portrait"/>
      <w:pgMar w:top="1700" w:right="1417" w:bottom="1247" w:left="1417" w:header="680" w:footer="623"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E1E3" w:sz="4" w:space="3"/>
      </w:pBdr>
      <w:spacing w:after="40"/>
    </w:pPr>
    <w:r>
      <w:rPr>
        <w:sz w:val="2"/>
        <w:szCs w:val="2"/>
      </w:rPr>
      <w:t xml:space="preserve"/>
    </w:r>
  </w:p>
  <w:tbl>
    <w:tblPr>
      <w:tblW w:type="dxa" w:w="9070"/>
      <w:tblBorders>
        <w:top w:val="none" w:color="FFFFFF" w:sz="0"/>
        <w:left w:val="none" w:color="FFFFFF" w:sz="0"/>
        <w:bottom w:val="none" w:color="FFFFFF" w:sz="0"/>
        <w:right w:val="none" w:color="FFFFFF" w:sz="0"/>
        <w:insideH w:val="none" w:color="FFFFFF" w:sz="0"/>
        <w:insideV w:val="none" w:color="FFFFFF" w:sz="0"/>
      </w:tblBorders>
    </w:tblPr>
    <w:tblGrid>
      <w:gridCol w:w="6600"/>
      <w:gridCol w:w="2470"/>
    </w:tblGrid>
    <w:tr>
      <w:tc>
        <w:tcPr>
          <w:tcW w:type="dxa" w:w="6600"/>
          <w:tcBorders>
            <w:top w:val="none" w:color="FFFFFF" w:sz="0"/>
            <w:left w:val="none" w:color="FFFFFF" w:sz="0"/>
            <w:bottom w:val="none" w:color="FFFFFF" w:sz="0"/>
            <w:right w:val="none" w:color="FFFFFF" w:sz="0"/>
          </w:tcBorders>
          <w:tcMar>
            <w:top w:type="dxa" w:w="0"/>
            <w:left w:type="dxa" w:w="0"/>
            <w:bottom w:type="dxa" w:w="0"/>
            <w:right w:type="dxa" w:w="0"/>
          </w:tcMar>
          <w:vAlign w:val="bottom"/>
        </w:tcPr>
        <w:p>
          <w:pPr>
            <w:spacing w:after="0" w:before="0" w:line="276"/>
          </w:pPr>
          <w:r>
            <w:rPr>
              <w:color w:val="4F6470"/>
              <w:sz w:val="14"/>
              <w:szCs w:val="14"/>
            </w:rPr>
            <w:t xml:space="preserve">Energieberatung Kungu  ·  0176 43860583  ·  info@energieberatung-kungu.de  ·  energieberatung-kungu.de</w:t>
          </w:r>
        </w:p>
      </w:tc>
      <w:tc>
        <w:tcPr>
          <w:tcW w:type="dxa" w:w="2470"/>
          <w:tcBorders>
            <w:top w:val="none" w:color="FFFFFF" w:sz="0"/>
            <w:left w:val="none" w:color="FFFFFF" w:sz="0"/>
            <w:bottom w:val="none" w:color="FFFFFF" w:sz="0"/>
            <w:right w:val="none" w:color="FFFFFF" w:sz="0"/>
          </w:tcBorders>
          <w:tcMar>
            <w:top w:type="dxa" w:w="0"/>
            <w:left w:type="dxa" w:w="0"/>
            <w:bottom w:type="dxa" w:w="0"/>
            <w:right w:type="dxa" w:w="0"/>
          </w:tcMar>
          <w:vAlign w:val="bottom"/>
        </w:tcPr>
        <w:p>
          <w:pPr>
            <w:spacing w:after="0"/>
            <w:jc w:val="right"/>
          </w:pPr>
          <w:r>
            <w:rPr>
              <w:color w:val="4F6470"/>
              <w:sz w:val="14"/>
              <w:szCs w:val="14"/>
            </w:rPr>
            <w:t xml:space="preserve">Seite </w:t>
            <w:fldChar w:fldCharType="begin"/>
            <w:instrText xml:space="preserve">PAGE</w:instrText>
            <w:fldChar w:fldCharType="separate"/>
            <w:fldChar w:fldCharType="end"/>
            <w:t xml:space="preserve"> von </w:t>
            <w:fldChar w:fldCharType="begin"/>
            <w:instrText xml:space="preserve">NUMPAGES</w:instrText>
            <w:fldChar w:fldCharType="separate"/>
            <w:fldChar w:fldCharType="end"/>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9070"/>
      <w:tblBorders>
        <w:top w:val="none" w:color="FFFFFF" w:sz="0"/>
        <w:left w:val="none" w:color="FFFFFF" w:sz="0"/>
        <w:bottom w:val="none" w:color="FFFFFF" w:sz="0"/>
        <w:right w:val="none" w:color="FFFFFF" w:sz="0"/>
        <w:insideH w:val="none" w:color="FFFFFF" w:sz="0"/>
        <w:insideV w:val="none" w:color="FFFFFF" w:sz="0"/>
      </w:tblBorders>
    </w:tblPr>
    <w:tblGrid>
      <w:gridCol w:w="4600"/>
      <w:gridCol w:w="4470"/>
    </w:tblGrid>
    <w:tr>
      <w:tc>
        <w:tcPr>
          <w:tcW w:type="dxa" w:w="4600"/>
          <w:tcBorders>
            <w:top w:val="none" w:color="FFFFFF" w:sz="0"/>
            <w:left w:val="none" w:color="FFFFFF" w:sz="0"/>
            <w:bottom w:val="none" w:color="FFFFFF" w:sz="0"/>
            <w:right w:val="none" w:color="FFFFFF" w:sz="0"/>
          </w:tcBorders>
          <w:tcMar>
            <w:top w:type="dxa" w:w="0"/>
            <w:left w:type="dxa" w:w="0"/>
            <w:bottom w:type="dxa" w:w="0"/>
            <w:right w:type="dxa" w:w="0"/>
          </w:tcMar>
          <w:vAlign w:val="bottom"/>
        </w:tcPr>
        <w:p>
          <w:pPr>
            <w:spacing w:after="0"/>
          </w:pPr>
          <w:r>
            <w:drawing>
              <wp:inline distT="0" distB="0" distL="0" distR="0">
                <wp:extent cx="1409700" cy="4286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409700" cy="428625"/>
                        </a:xfrm>
                        <a:prstGeom prst="rect">
                          <a:avLst/>
                        </a:prstGeom>
                      </pic:spPr>
                    </pic:pic>
                  </a:graphicData>
                </a:graphic>
              </wp:inline>
            </w:drawing>
          </w:r>
        </w:p>
      </w:tc>
      <w:tc>
        <w:tcPr>
          <w:tcW w:type="dxa" w:w="4470"/>
          <w:tcBorders>
            <w:top w:val="none" w:color="FFFFFF" w:sz="0"/>
            <w:left w:val="none" w:color="FFFFFF" w:sz="0"/>
            <w:bottom w:val="none" w:color="FFFFFF" w:sz="0"/>
            <w:right w:val="none" w:color="FFFFFF" w:sz="0"/>
          </w:tcBorders>
          <w:tcMar>
            <w:top w:type="dxa" w:w="0"/>
            <w:left w:type="dxa" w:w="0"/>
            <w:bottom w:type="dxa" w:w="0"/>
            <w:right w:type="dxa" w:w="0"/>
          </w:tcMar>
          <w:vAlign w:val="bottom"/>
        </w:tcPr>
        <w:p>
          <w:pPr>
            <w:spacing w:after="0" w:before="0" w:line="276"/>
            <w:jc w:val="right"/>
          </w:pPr>
          <w:r>
            <w:rPr>
              <w:color w:val="4F6470"/>
              <w:sz w:val="15"/>
              <w:szCs w:val="15"/>
            </w:rPr>
            <w:t xml:space="preserve">Energieberatung Kungu  ·  Stand September 2026</w:t>
          </w:r>
        </w:p>
      </w:tc>
    </w:tr>
  </w:tbl>
  <w:p>
    <w:pPr>
      <w:pBdr>
        <w:top w:val="single" w:color="011825" w:sz="8" w:space="3"/>
      </w:pBdr>
      <w:spacing w:after="0"/>
    </w:pPr>
    <w:r>
      <w:rPr>
        <w:sz w:val="2"/>
        <w:szCs w:val="2"/>
      </w:rP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20"/>
      </w:pPr>
    </w:lvl>
  </w:abstractNum>
  <w:abstractNum w:abstractNumId="3" w15:restartNumberingAfterBreak="0">
    <w:multiLevelType w:val="hybridMultilevel"/>
    <w:lvl w:ilvl="0" w15:tentative="1">
      <w:start w:val="1"/>
      <w:numFmt w:val="decimal"/>
      <w:lvlText w:val="%1."/>
      <w:lvlJc w:val="left"/>
      <w:pPr>
        <w:ind w:left="400" w:hanging="40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011825"/>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b8f9f1c007ade33255d63868531d574403ae10f4.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 Beschlussvorlage für die Eigentümerversammlung</dc:title>
  <dc:creator>Energieberatung Kungu</dc:creator>
  <dc:description>Formulierungshilfe für energetische Maßnahmen in der Wohnungseigentümergemeinschaft</dc:description>
  <cp:lastModifiedBy>Un-named</cp:lastModifiedBy>
  <cp:revision>1</cp:revision>
  <dcterms:created xsi:type="dcterms:W3CDTF">2026-09-13T13:20:43.226Z</dcterms:created>
  <dcterms:modified xsi:type="dcterms:W3CDTF">2026-09-13T13:20:43.226Z</dcterms:modified>
</cp:coreProperties>
</file>

<file path=docProps/custom.xml><?xml version="1.0" encoding="utf-8"?>
<Properties xmlns="http://schemas.openxmlformats.org/officeDocument/2006/custom-properties" xmlns:vt="http://schemas.openxmlformats.org/officeDocument/2006/docPropsVTypes"/>
</file>